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A1" w:rsidRPr="004B4BAC" w:rsidRDefault="00B358A1" w:rsidP="006039A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rsidR="00B358A1" w:rsidRPr="004B4BAC" w:rsidRDefault="00B358A1" w:rsidP="006039A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rsidR="00B358A1" w:rsidRPr="004B4BAC" w:rsidRDefault="00B358A1" w:rsidP="006039A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rsidR="00B358A1" w:rsidRPr="004B4BAC" w:rsidRDefault="00B358A1" w:rsidP="00B358A1">
      <w:pPr>
        <w:spacing w:after="0" w:line="240" w:lineRule="auto"/>
        <w:jc w:val="center"/>
        <w:rPr>
          <w:rFonts w:ascii="Times New Roman" w:eastAsia="Times New Roman" w:hAnsi="Times New Roman"/>
          <w:sz w:val="28"/>
          <w:szCs w:val="28"/>
          <w:lang w:eastAsia="ru-RU"/>
        </w:rPr>
      </w:pPr>
    </w:p>
    <w:p w:rsidR="00DD4732" w:rsidRDefault="00DD4732"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Default="00FC2F2F" w:rsidP="00DD4732">
      <w:pPr>
        <w:spacing w:after="0" w:line="240" w:lineRule="auto"/>
        <w:jc w:val="right"/>
        <w:rPr>
          <w:rFonts w:ascii="Times New Roman" w:eastAsia="Times New Roman" w:hAnsi="Times New Roman"/>
          <w:sz w:val="28"/>
          <w:szCs w:val="28"/>
          <w:lang w:eastAsia="ru-RU"/>
        </w:rPr>
      </w:pPr>
    </w:p>
    <w:p w:rsidR="00FC2F2F" w:rsidRPr="00740314" w:rsidRDefault="00FC2F2F" w:rsidP="00DD4732">
      <w:pPr>
        <w:spacing w:after="0" w:line="240" w:lineRule="auto"/>
        <w:jc w:val="right"/>
        <w:rPr>
          <w:rFonts w:ascii="Times New Roman" w:eastAsia="Times New Roman" w:hAnsi="Times New Roman"/>
          <w:sz w:val="28"/>
          <w:szCs w:val="28"/>
          <w:lang w:eastAsia="ru-RU"/>
        </w:rPr>
      </w:pPr>
    </w:p>
    <w:p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rsidR="00DD4732" w:rsidRPr="00740314" w:rsidRDefault="00DD4732" w:rsidP="00DD4732">
      <w:pPr>
        <w:spacing w:after="0" w:line="240" w:lineRule="auto"/>
        <w:jc w:val="center"/>
        <w:rPr>
          <w:rFonts w:ascii="Times New Roman" w:eastAsia="Times New Roman" w:hAnsi="Times New Roman"/>
          <w:b/>
          <w:sz w:val="28"/>
          <w:szCs w:val="28"/>
          <w:lang w:eastAsia="ru-RU"/>
        </w:rPr>
      </w:pPr>
    </w:p>
    <w:p w:rsidR="00DD4732" w:rsidRPr="00740314" w:rsidRDefault="00DD4732" w:rsidP="00DD4732">
      <w:pPr>
        <w:spacing w:after="0" w:line="240" w:lineRule="auto"/>
        <w:jc w:val="right"/>
        <w:rPr>
          <w:rFonts w:ascii="Times New Roman" w:eastAsia="Times New Roman" w:hAnsi="Times New Roman"/>
          <w:b/>
          <w:sz w:val="28"/>
          <w:szCs w:val="28"/>
          <w:lang w:eastAsia="ru-RU"/>
        </w:rPr>
      </w:pPr>
    </w:p>
    <w:p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rsidR="00470984" w:rsidRPr="00470984" w:rsidRDefault="00470984" w:rsidP="00470984">
      <w:pPr>
        <w:widowControl w:val="0"/>
        <w:spacing w:after="0" w:line="360" w:lineRule="auto"/>
        <w:jc w:val="center"/>
        <w:rPr>
          <w:rFonts w:ascii="Times New Roman" w:eastAsia="Times New Roman" w:hAnsi="Times New Roman"/>
          <w:b/>
          <w:sz w:val="28"/>
          <w:szCs w:val="28"/>
          <w:lang w:eastAsia="ru-RU"/>
        </w:rPr>
      </w:pPr>
      <w:r w:rsidRPr="00470984">
        <w:rPr>
          <w:rFonts w:ascii="Times New Roman" w:eastAsia="Times New Roman" w:hAnsi="Times New Roman"/>
          <w:sz w:val="28"/>
          <w:szCs w:val="28"/>
          <w:lang w:eastAsia="ru-RU"/>
        </w:rPr>
        <w:t>По специальности</w:t>
      </w:r>
    </w:p>
    <w:p w:rsidR="00470984" w:rsidRPr="00470984" w:rsidRDefault="00470984" w:rsidP="00470984">
      <w:pPr>
        <w:widowControl w:val="0"/>
        <w:spacing w:after="0" w:line="360" w:lineRule="auto"/>
        <w:jc w:val="center"/>
        <w:rPr>
          <w:rFonts w:ascii="Times New Roman" w:eastAsia="Times New Roman" w:hAnsi="Times New Roman"/>
          <w:b/>
          <w:sz w:val="28"/>
          <w:szCs w:val="28"/>
          <w:lang w:eastAsia="ru-RU"/>
        </w:rPr>
      </w:pPr>
      <w:r w:rsidRPr="00470984">
        <w:rPr>
          <w:rFonts w:ascii="Times New Roman" w:hAnsi="Times New Roman"/>
          <w:b/>
          <w:sz w:val="28"/>
          <w:szCs w:val="28"/>
        </w:rPr>
        <w:t xml:space="preserve">53.05.01 </w:t>
      </w:r>
      <w:r w:rsidRPr="00470984">
        <w:rPr>
          <w:rFonts w:ascii="Times New Roman" w:eastAsia="Times New Roman" w:hAnsi="Times New Roman"/>
          <w:b/>
          <w:sz w:val="28"/>
          <w:szCs w:val="28"/>
          <w:lang w:eastAsia="ru-RU"/>
        </w:rPr>
        <w:t>Искусство концертного исполнительства</w:t>
      </w:r>
    </w:p>
    <w:p w:rsidR="00470984" w:rsidRPr="00470984" w:rsidRDefault="00470984" w:rsidP="00470984">
      <w:pPr>
        <w:widowControl w:val="0"/>
        <w:spacing w:after="0" w:line="360" w:lineRule="auto"/>
        <w:jc w:val="center"/>
        <w:rPr>
          <w:rFonts w:ascii="Times New Roman" w:eastAsia="Times New Roman" w:hAnsi="Times New Roman"/>
          <w:sz w:val="28"/>
          <w:szCs w:val="28"/>
          <w:lang w:eastAsia="ru-RU"/>
        </w:rPr>
      </w:pPr>
      <w:r w:rsidRPr="00470984">
        <w:rPr>
          <w:rFonts w:ascii="Times New Roman" w:eastAsia="Times New Roman" w:hAnsi="Times New Roman"/>
          <w:sz w:val="28"/>
          <w:szCs w:val="28"/>
          <w:lang w:eastAsia="ru-RU"/>
        </w:rPr>
        <w:t xml:space="preserve">(уровень </w:t>
      </w:r>
      <w:proofErr w:type="spellStart"/>
      <w:r w:rsidRPr="00470984">
        <w:rPr>
          <w:rFonts w:ascii="Times New Roman" w:eastAsia="Times New Roman" w:hAnsi="Times New Roman"/>
          <w:sz w:val="28"/>
          <w:szCs w:val="28"/>
          <w:lang w:eastAsia="ru-RU"/>
        </w:rPr>
        <w:t>специалитета</w:t>
      </w:r>
      <w:proofErr w:type="spellEnd"/>
      <w:r w:rsidRPr="00470984">
        <w:rPr>
          <w:rFonts w:ascii="Times New Roman" w:eastAsia="Times New Roman" w:hAnsi="Times New Roman"/>
          <w:sz w:val="28"/>
          <w:szCs w:val="28"/>
          <w:lang w:eastAsia="ru-RU"/>
        </w:rPr>
        <w:t>)</w:t>
      </w:r>
    </w:p>
    <w:p w:rsidR="00470984" w:rsidRPr="00470984" w:rsidRDefault="00470984" w:rsidP="00470984">
      <w:pPr>
        <w:spacing w:after="0" w:line="360" w:lineRule="auto"/>
        <w:jc w:val="center"/>
        <w:rPr>
          <w:rFonts w:ascii="Times New Roman" w:hAnsi="Times New Roman"/>
          <w:sz w:val="28"/>
          <w:szCs w:val="28"/>
        </w:rPr>
      </w:pPr>
      <w:r w:rsidRPr="00470984">
        <w:rPr>
          <w:rFonts w:ascii="Times New Roman" w:hAnsi="Times New Roman"/>
          <w:sz w:val="28"/>
          <w:szCs w:val="28"/>
        </w:rPr>
        <w:t>Специализация №1 «Фортепиано»</w:t>
      </w:r>
    </w:p>
    <w:p w:rsidR="00110049" w:rsidRPr="00110049" w:rsidRDefault="00110049" w:rsidP="00297AF4">
      <w:pPr>
        <w:spacing w:after="0" w:line="360" w:lineRule="auto"/>
        <w:jc w:val="center"/>
        <w:rPr>
          <w:rFonts w:ascii="Times New Roman" w:eastAsia="Times New Roman" w:hAnsi="Times New Roman"/>
          <w:b/>
          <w:sz w:val="28"/>
          <w:szCs w:val="28"/>
          <w:lang w:eastAsia="ru-RU"/>
        </w:rPr>
      </w:pPr>
    </w:p>
    <w:p w:rsidR="00DD4732" w:rsidRDefault="00DD4732"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rsidR="00DD4732" w:rsidRDefault="00DD4732" w:rsidP="00297AF4">
      <w:pPr>
        <w:spacing w:after="0" w:line="360" w:lineRule="auto"/>
        <w:rPr>
          <w:rFonts w:ascii="Times New Roman" w:eastAsia="Times New Roman" w:hAnsi="Times New Roman"/>
          <w:sz w:val="28"/>
          <w:szCs w:val="28"/>
          <w:lang w:eastAsia="ru-RU"/>
        </w:rPr>
      </w:pPr>
    </w:p>
    <w:p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rsidR="00FC2F2F" w:rsidRDefault="00FC2F2F">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rsidTr="00297AF4">
        <w:trPr>
          <w:cantSplit/>
        </w:trPr>
        <w:tc>
          <w:tcPr>
            <w:tcW w:w="9464" w:type="dxa"/>
            <w:gridSpan w:val="2"/>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rsidTr="00297AF4">
        <w:tc>
          <w:tcPr>
            <w:tcW w:w="782" w:type="dxa"/>
          </w:tcPr>
          <w:p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rsidTr="00297AF4">
        <w:trPr>
          <w:cantSplit/>
        </w:trPr>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rsidR="00110049" w:rsidRDefault="00110049" w:rsidP="00297AF4">
      <w:pPr>
        <w:pStyle w:val="a6"/>
        <w:spacing w:after="0" w:line="360" w:lineRule="auto"/>
        <w:rPr>
          <w:rFonts w:ascii="Times New Roman" w:hAnsi="Times New Roman"/>
          <w:b/>
          <w:sz w:val="28"/>
          <w:szCs w:val="28"/>
        </w:rPr>
      </w:pPr>
    </w:p>
    <w:p w:rsidR="00110049" w:rsidRPr="00110049" w:rsidRDefault="00D46B03" w:rsidP="00470984">
      <w:pPr>
        <w:pStyle w:val="a6"/>
        <w:spacing w:after="0" w:line="360" w:lineRule="auto"/>
        <w:ind w:firstLine="708"/>
        <w:rPr>
          <w:rFonts w:ascii="Times New Roman" w:hAnsi="Times New Roman"/>
          <w:sz w:val="28"/>
          <w:szCs w:val="28"/>
        </w:rPr>
      </w:pPr>
      <w:r>
        <w:rPr>
          <w:rFonts w:ascii="Times New Roman" w:hAnsi="Times New Roman"/>
          <w:sz w:val="28"/>
          <w:szCs w:val="28"/>
        </w:rPr>
        <w:t>ПРИЛОЖЕНИЯ</w:t>
      </w:r>
    </w:p>
    <w:p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rsidR="00110049" w:rsidRDefault="00110049" w:rsidP="00297AF4">
      <w:pPr>
        <w:pStyle w:val="a6"/>
        <w:spacing w:after="0" w:line="360" w:lineRule="auto"/>
        <w:jc w:val="center"/>
        <w:rPr>
          <w:rFonts w:ascii="Times New Roman" w:eastAsia="MS Mincho" w:hAnsi="Times New Roman"/>
          <w:b/>
          <w:caps/>
          <w:sz w:val="28"/>
          <w:szCs w:val="28"/>
        </w:rPr>
      </w:pPr>
    </w:p>
    <w:p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rsidR="00590899" w:rsidRDefault="00590899" w:rsidP="00297AF4">
      <w:pPr>
        <w:pStyle w:val="12"/>
        <w:spacing w:before="0" w:line="360" w:lineRule="auto"/>
        <w:ind w:firstLine="709"/>
        <w:jc w:val="both"/>
        <w:rPr>
          <w:b/>
          <w:bCs/>
          <w:sz w:val="28"/>
          <w:szCs w:val="20"/>
        </w:rPr>
      </w:pPr>
    </w:p>
    <w:p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BE4555" w:rsidRPr="00BE4555">
        <w:rPr>
          <w:rFonts w:ascii="Times New Roman" w:eastAsiaTheme="minorEastAsia" w:hAnsi="Times New Roman"/>
          <w:sz w:val="28"/>
          <w:szCs w:val="28"/>
          <w:lang w:eastAsia="ru-RU"/>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BE4555">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w:t>
      </w:r>
    </w:p>
    <w:p w:rsidR="00C4292D" w:rsidRPr="00E92824" w:rsidRDefault="00C4292D" w:rsidP="00297AF4">
      <w:pPr>
        <w:pStyle w:val="Style6"/>
        <w:widowControl/>
        <w:spacing w:line="360" w:lineRule="auto"/>
        <w:jc w:val="both"/>
        <w:rPr>
          <w:rStyle w:val="FontStyle46"/>
          <w:sz w:val="28"/>
          <w:szCs w:val="28"/>
        </w:rPr>
      </w:pPr>
    </w:p>
    <w:bookmarkEnd w:id="1"/>
    <w:p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rsidR="00DD4732" w:rsidRDefault="00DD4732" w:rsidP="00297AF4">
      <w:pPr>
        <w:pStyle w:val="a6"/>
        <w:spacing w:after="0" w:line="360" w:lineRule="auto"/>
        <w:jc w:val="center"/>
        <w:rPr>
          <w:rFonts w:ascii="Times New Roman" w:hAnsi="Times New Roman"/>
          <w:b/>
          <w:sz w:val="28"/>
          <w:szCs w:val="28"/>
        </w:rPr>
      </w:pPr>
    </w:p>
    <w:p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w:t>
            </w:r>
          </w:p>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6039A8">
            <w:pPr>
              <w:spacing w:after="0" w:line="240" w:lineRule="auto"/>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6039A8">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rsidTr="006039A8">
        <w:trPr>
          <w:trHeight w:val="448"/>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6039A8">
            <w:pPr>
              <w:spacing w:after="0" w:line="24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rsidTr="006039A8">
        <w:trPr>
          <w:trHeight w:val="412"/>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17"/>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2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16"/>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21"/>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1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rsidTr="006039A8">
        <w:trPr>
          <w:trHeight w:val="419"/>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rsidTr="006039A8">
        <w:trPr>
          <w:trHeight w:val="273"/>
        </w:trPr>
        <w:tc>
          <w:tcPr>
            <w:tcW w:w="853" w:type="dxa"/>
            <w:tcBorders>
              <w:top w:val="single" w:sz="4" w:space="0" w:color="auto"/>
              <w:left w:val="single" w:sz="4" w:space="0" w:color="auto"/>
              <w:bottom w:val="single" w:sz="4" w:space="0" w:color="auto"/>
              <w:right w:val="single" w:sz="4" w:space="0" w:color="auto"/>
            </w:tcBorders>
          </w:tcPr>
          <w:p w:rsidR="00812556" w:rsidRPr="00297AF4" w:rsidRDefault="00812556" w:rsidP="006039A8">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rsidR="00812556" w:rsidRPr="00297AF4" w:rsidRDefault="00812556" w:rsidP="006039A8">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rsidR="00DD4732" w:rsidRDefault="00DD4732" w:rsidP="00941508">
      <w:pPr>
        <w:spacing w:after="0" w:line="360" w:lineRule="auto"/>
        <w:rPr>
          <w:rFonts w:ascii="Times New Roman" w:eastAsia="Times New Roman" w:hAnsi="Times New Roman"/>
          <w:b/>
          <w:sz w:val="24"/>
          <w:szCs w:val="24"/>
          <w:lang w:eastAsia="ru-RU"/>
        </w:rPr>
      </w:pPr>
    </w:p>
    <w:p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rsidR="009A07D5" w:rsidRDefault="009A07D5" w:rsidP="00297AF4">
      <w:pPr>
        <w:spacing w:after="0" w:line="360" w:lineRule="auto"/>
        <w:ind w:firstLine="708"/>
        <w:rPr>
          <w:rFonts w:ascii="Times New Roman CYR" w:hAnsi="Times New Roman CYR" w:cs="Times New Roman CYR"/>
          <w:sz w:val="28"/>
          <w:szCs w:val="28"/>
        </w:rPr>
      </w:pPr>
    </w:p>
    <w:p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rsidR="004C6B6C" w:rsidRDefault="004C6B6C" w:rsidP="00297AF4">
      <w:pPr>
        <w:spacing w:after="0" w:line="360" w:lineRule="auto"/>
        <w:jc w:val="both"/>
        <w:rPr>
          <w:rFonts w:ascii="Times New Roman" w:hAnsi="Times New Roman"/>
          <w:sz w:val="28"/>
          <w:szCs w:val="28"/>
        </w:rPr>
      </w:pPr>
    </w:p>
    <w:p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rsidR="006039A8" w:rsidRPr="006039A8" w:rsidRDefault="006039A8" w:rsidP="006039A8">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Основная</w:t>
      </w:r>
      <w:r>
        <w:rPr>
          <w:rFonts w:ascii="Times New Roman" w:hAnsi="Times New Roman"/>
          <w:sz w:val="28"/>
          <w:szCs w:val="28"/>
          <w:u w:val="single"/>
        </w:rPr>
        <w:t>:</w:t>
      </w:r>
    </w:p>
    <w:p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Бальмонт, К.Д. Русский язык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СПб</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Лань, 2013. — 4 с. — Режим доступа: </w:t>
      </w:r>
      <w:hyperlink r:id="rId5" w:history="1">
        <w:r w:rsidRPr="006039A8">
          <w:rPr>
            <w:rStyle w:val="a3"/>
            <w:rFonts w:ascii="Times New Roman" w:hAnsi="Times New Roman"/>
            <w:sz w:val="28"/>
            <w:szCs w:val="28"/>
          </w:rPr>
          <w:t>http://e.lanbook.com/books/element.php?pl1_id=34782</w:t>
        </w:r>
      </w:hyperlink>
    </w:p>
    <w:p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учебно-методическое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63 с. — Режим доступа: </w:t>
      </w:r>
      <w:hyperlink r:id="rId6" w:history="1">
        <w:r w:rsidRPr="006039A8">
          <w:rPr>
            <w:rStyle w:val="a3"/>
            <w:rFonts w:ascii="Times New Roman" w:hAnsi="Times New Roman"/>
            <w:sz w:val="28"/>
            <w:szCs w:val="28"/>
          </w:rPr>
          <w:t>http://e.lanbook.com/books/element.php?pl1_id=1439</w:t>
        </w:r>
      </w:hyperlink>
    </w:p>
    <w:p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lastRenderedPageBreak/>
        <w:t>Малышева, Е.Г. Современный русский язык. Фонетика. Орфоэпия: учебное пособие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Е.Г. Малышева, О.С. </w:t>
      </w:r>
      <w:proofErr w:type="spellStart"/>
      <w:r w:rsidRPr="006039A8">
        <w:rPr>
          <w:rFonts w:ascii="Times New Roman" w:hAnsi="Times New Roman"/>
          <w:sz w:val="28"/>
          <w:szCs w:val="28"/>
        </w:rPr>
        <w:t>Рогалева</w:t>
      </w:r>
      <w:proofErr w:type="spellEnd"/>
      <w:r w:rsidRPr="006039A8">
        <w:rPr>
          <w:rFonts w:ascii="Times New Roman" w:hAnsi="Times New Roman"/>
          <w:sz w:val="28"/>
          <w:szCs w:val="28"/>
        </w:rPr>
        <w:t>.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Омск :</w:t>
      </w:r>
      <w:proofErr w:type="gramEnd"/>
      <w:r w:rsidRPr="006039A8">
        <w:rPr>
          <w:rFonts w:ascii="Times New Roman" w:hAnsi="Times New Roman"/>
          <w:sz w:val="28"/>
          <w:szCs w:val="28"/>
        </w:rPr>
        <w:t xml:space="preserve"> </w:t>
      </w:r>
      <w:proofErr w:type="spellStart"/>
      <w:r w:rsidRPr="006039A8">
        <w:rPr>
          <w:rFonts w:ascii="Times New Roman" w:hAnsi="Times New Roman"/>
          <w:sz w:val="28"/>
          <w:szCs w:val="28"/>
        </w:rPr>
        <w:t>ОмскГУ</w:t>
      </w:r>
      <w:proofErr w:type="spellEnd"/>
      <w:r w:rsidRPr="006039A8">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039A8">
          <w:rPr>
            <w:rStyle w:val="a3"/>
            <w:rFonts w:ascii="Times New Roman" w:hAnsi="Times New Roman"/>
            <w:sz w:val="28"/>
            <w:szCs w:val="28"/>
          </w:rPr>
          <w:t>http://e.lanbook.com/books/element.php?pl1_id=12886</w:t>
        </w:r>
      </w:hyperlink>
    </w:p>
    <w:p w:rsidR="006039A8" w:rsidRPr="006039A8" w:rsidRDefault="006039A8" w:rsidP="006039A8">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Дополнительная</w:t>
      </w:r>
      <w:r>
        <w:rPr>
          <w:rFonts w:ascii="Times New Roman" w:hAnsi="Times New Roman"/>
          <w:sz w:val="28"/>
          <w:szCs w:val="28"/>
          <w:u w:val="single"/>
        </w:rPr>
        <w:t>:</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Богуславский В. Словарь оценок внешности </w:t>
      </w:r>
      <w:proofErr w:type="spellStart"/>
      <w:r w:rsidRPr="006039A8">
        <w:rPr>
          <w:rFonts w:ascii="Times New Roman" w:hAnsi="Times New Roman"/>
          <w:sz w:val="28"/>
          <w:szCs w:val="28"/>
        </w:rPr>
        <w:t>челоке</w:t>
      </w:r>
      <w:proofErr w:type="spellEnd"/>
      <w:r w:rsidRPr="006039A8">
        <w:rPr>
          <w:rFonts w:ascii="Times New Roman" w:hAnsi="Times New Roman"/>
          <w:sz w:val="28"/>
          <w:szCs w:val="28"/>
        </w:rPr>
        <w:t xml:space="preserve">. – М.: </w:t>
      </w:r>
      <w:proofErr w:type="spellStart"/>
      <w:r w:rsidRPr="006039A8">
        <w:rPr>
          <w:rFonts w:ascii="Times New Roman" w:hAnsi="Times New Roman"/>
          <w:sz w:val="28"/>
          <w:szCs w:val="28"/>
        </w:rPr>
        <w:t>Космополис</w:t>
      </w:r>
      <w:proofErr w:type="spellEnd"/>
      <w:r w:rsidRPr="006039A8">
        <w:rPr>
          <w:rFonts w:ascii="Times New Roman" w:hAnsi="Times New Roman"/>
          <w:sz w:val="28"/>
          <w:szCs w:val="28"/>
        </w:rPr>
        <w:t>, 1994. – 336 с.</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Р.К. Русский язык и культура речи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учебник / Р.К.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Н.А.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В.М. </w:t>
      </w:r>
      <w:proofErr w:type="spellStart"/>
      <w:r w:rsidRPr="006039A8">
        <w:rPr>
          <w:rFonts w:ascii="Times New Roman" w:hAnsi="Times New Roman"/>
          <w:sz w:val="28"/>
          <w:szCs w:val="28"/>
        </w:rPr>
        <w:t>Шаклеин</w:t>
      </w:r>
      <w:proofErr w:type="spellEnd"/>
      <w:r w:rsidRPr="006039A8">
        <w:rPr>
          <w:rFonts w:ascii="Times New Roman" w:hAnsi="Times New Roman"/>
          <w:sz w:val="28"/>
          <w:szCs w:val="28"/>
        </w:rPr>
        <w:t>.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607 с. — Режим доступа: http://e.lanbook.com/books/element.php?pl1_id=2511 </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Былинский</w:t>
      </w:r>
      <w:proofErr w:type="spellEnd"/>
      <w:r w:rsidRPr="006039A8">
        <w:rPr>
          <w:rFonts w:ascii="Times New Roman" w:hAnsi="Times New Roman"/>
          <w:sz w:val="28"/>
          <w:szCs w:val="28"/>
        </w:rPr>
        <w:t xml:space="preserve">, К. Справочник по орфографии и пунктуации. – 4 </w:t>
      </w:r>
      <w:proofErr w:type="spellStart"/>
      <w:r w:rsidRPr="006039A8">
        <w:rPr>
          <w:rFonts w:ascii="Times New Roman" w:hAnsi="Times New Roman"/>
          <w:sz w:val="28"/>
          <w:szCs w:val="28"/>
        </w:rPr>
        <w:t>ищд</w:t>
      </w:r>
      <w:proofErr w:type="spellEnd"/>
      <w:r w:rsidRPr="006039A8">
        <w:rPr>
          <w:rFonts w:ascii="Times New Roman" w:hAnsi="Times New Roman"/>
          <w:sz w:val="28"/>
          <w:szCs w:val="28"/>
        </w:rPr>
        <w:t>. – М., 1970. – 343 с.</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Введенская, Л. Русский язык и культура речи: Учебное пособие для вузов. – Ростов-на-Дону: Феникс, 2005. – 544 с.</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Давайте говорить правильно. Краткий справочник. – Санкт-Петербург, Академия, 2005. – 160 с.</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Мусатов</w:t>
      </w:r>
      <w:proofErr w:type="spellEnd"/>
      <w:r w:rsidRPr="006039A8">
        <w:rPr>
          <w:rFonts w:ascii="Times New Roman" w:hAnsi="Times New Roman"/>
          <w:sz w:val="28"/>
          <w:szCs w:val="28"/>
        </w:rPr>
        <w:t xml:space="preserve">, В.Н. Русский язык. </w:t>
      </w:r>
      <w:proofErr w:type="spellStart"/>
      <w:r w:rsidRPr="006039A8">
        <w:rPr>
          <w:rFonts w:ascii="Times New Roman" w:hAnsi="Times New Roman"/>
          <w:sz w:val="28"/>
          <w:szCs w:val="28"/>
        </w:rPr>
        <w:t>Морфемика</w:t>
      </w:r>
      <w:proofErr w:type="spellEnd"/>
      <w:r w:rsidRPr="006039A8">
        <w:rPr>
          <w:rFonts w:ascii="Times New Roman" w:hAnsi="Times New Roman"/>
          <w:sz w:val="28"/>
          <w:szCs w:val="28"/>
        </w:rPr>
        <w:t>. Морфонология. Словообразование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2010. — 359 с. — Режим доступа: </w:t>
      </w:r>
      <w:hyperlink r:id="rId8" w:history="1">
        <w:r w:rsidRPr="006039A8">
          <w:rPr>
            <w:rStyle w:val="a3"/>
            <w:rFonts w:ascii="Times New Roman" w:hAnsi="Times New Roman"/>
            <w:sz w:val="28"/>
            <w:szCs w:val="28"/>
          </w:rPr>
          <w:t>http://e.lanbook.com/books/element.php?pl1_id=1392</w:t>
        </w:r>
      </w:hyperlink>
      <w:r w:rsidRPr="006039A8">
        <w:rPr>
          <w:rFonts w:ascii="Times New Roman" w:hAnsi="Times New Roman"/>
          <w:sz w:val="28"/>
          <w:szCs w:val="28"/>
        </w:rPr>
        <w:t xml:space="preserve"> </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Розенталь, Д. Русский язык: </w:t>
      </w:r>
      <w:proofErr w:type="spellStart"/>
      <w:r w:rsidRPr="006039A8">
        <w:rPr>
          <w:rFonts w:ascii="Times New Roman" w:hAnsi="Times New Roman"/>
          <w:sz w:val="28"/>
          <w:szCs w:val="28"/>
        </w:rPr>
        <w:t>Спавочник</w:t>
      </w:r>
      <w:proofErr w:type="spellEnd"/>
      <w:r w:rsidRPr="006039A8">
        <w:rPr>
          <w:rFonts w:ascii="Times New Roman" w:hAnsi="Times New Roman"/>
          <w:sz w:val="28"/>
          <w:szCs w:val="28"/>
        </w:rPr>
        <w:t>-практикум. – М.: ОНИК, 2009. – 1008 с.</w:t>
      </w:r>
    </w:p>
    <w:p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Рыженкова</w:t>
      </w:r>
      <w:proofErr w:type="spellEnd"/>
      <w:r w:rsidRPr="006039A8">
        <w:rPr>
          <w:rFonts w:ascii="Times New Roman" w:hAnsi="Times New Roman"/>
          <w:sz w:val="28"/>
          <w:szCs w:val="28"/>
        </w:rPr>
        <w:t>, Т.В. Синтаксис современного русского языка в таблицах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Прометей (Московский Государственный Педагогический Университет), 2012. — 28 с. — Режим доступа: </w:t>
      </w:r>
      <w:hyperlink r:id="rId9" w:history="1">
        <w:r w:rsidRPr="006039A8">
          <w:rPr>
            <w:rStyle w:val="a3"/>
            <w:rFonts w:ascii="Times New Roman" w:hAnsi="Times New Roman"/>
            <w:sz w:val="28"/>
            <w:szCs w:val="28"/>
          </w:rPr>
          <w:t>http://e.lanbook.com/books/element.php?pl1_id=3889</w:t>
        </w:r>
      </w:hyperlink>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rsidR="00F46C1A" w:rsidRDefault="00F46C1A" w:rsidP="00297AF4">
      <w:pPr>
        <w:spacing w:after="0" w:line="360" w:lineRule="auto"/>
        <w:ind w:firstLine="708"/>
        <w:jc w:val="both"/>
        <w:rPr>
          <w:rFonts w:ascii="Times New Roman" w:hAnsi="Times New Roman"/>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rsidR="006F1A58" w:rsidRPr="002238C6" w:rsidRDefault="006F1A58" w:rsidP="00297AF4">
      <w:pPr>
        <w:spacing w:after="0" w:line="360" w:lineRule="auto"/>
        <w:ind w:firstLine="709"/>
        <w:jc w:val="both"/>
        <w:rPr>
          <w:rFonts w:ascii="Times New Roman" w:hAnsi="Times New Roman"/>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rsidR="006F1A58" w:rsidRDefault="006F1A58" w:rsidP="00297AF4">
      <w:pPr>
        <w:spacing w:after="0" w:line="360" w:lineRule="auto"/>
        <w:ind w:firstLine="708"/>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rsidR="00634C9C" w:rsidRDefault="00634C9C" w:rsidP="00297AF4">
      <w:pPr>
        <w:spacing w:after="0" w:line="360" w:lineRule="auto"/>
        <w:ind w:firstLine="709"/>
        <w:rPr>
          <w:rFonts w:ascii="Times New Roman" w:hAnsi="Times New Roman"/>
          <w:b/>
          <w:sz w:val="28"/>
          <w:szCs w:val="28"/>
        </w:rPr>
      </w:pPr>
    </w:p>
    <w:p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rsidR="00941508" w:rsidRDefault="00941508" w:rsidP="00297AF4">
      <w:pPr>
        <w:spacing w:after="0" w:line="360" w:lineRule="auto"/>
        <w:rPr>
          <w:rFonts w:ascii="Times New Roman" w:hAnsi="Times New Roman"/>
          <w:b/>
          <w:sz w:val="28"/>
          <w:szCs w:val="28"/>
        </w:rPr>
      </w:pPr>
    </w:p>
    <w:p w:rsidR="00941508" w:rsidRDefault="00941508" w:rsidP="00297AF4">
      <w:pPr>
        <w:spacing w:after="0" w:line="360" w:lineRule="auto"/>
        <w:rPr>
          <w:rFonts w:ascii="Times New Roman" w:hAnsi="Times New Roman"/>
          <w:b/>
          <w:sz w:val="28"/>
          <w:szCs w:val="28"/>
        </w:rPr>
      </w:pP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rsidR="00297D67" w:rsidRPr="00297D67" w:rsidRDefault="00297D67" w:rsidP="00297AF4">
      <w:pPr>
        <w:spacing w:after="0" w:line="360" w:lineRule="auto"/>
        <w:jc w:val="both"/>
        <w:rPr>
          <w:rFonts w:ascii="Times New Roman" w:hAnsi="Times New Roman"/>
          <w:sz w:val="28"/>
          <w:szCs w:val="28"/>
        </w:rPr>
      </w:pPr>
    </w:p>
    <w:p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rsidR="006F1A58" w:rsidRDefault="006F1A58" w:rsidP="00297AF4">
      <w:pPr>
        <w:spacing w:after="0" w:line="360" w:lineRule="auto"/>
        <w:ind w:firstLine="708"/>
        <w:rPr>
          <w:rFonts w:ascii="Times New Roman" w:hAnsi="Times New Roman"/>
          <w:sz w:val="28"/>
          <w:szCs w:val="28"/>
        </w:rPr>
      </w:pPr>
    </w:p>
    <w:p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rsidR="00941508" w:rsidRDefault="00941508" w:rsidP="00941508">
      <w:pPr>
        <w:spacing w:after="0" w:line="360" w:lineRule="auto"/>
        <w:rPr>
          <w:rFonts w:ascii="Times New Roman" w:hAnsi="Times New Roman"/>
          <w:sz w:val="28"/>
          <w:szCs w:val="28"/>
        </w:rPr>
      </w:pPr>
    </w:p>
    <w:p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rsidR="00FD66A9" w:rsidRPr="00FD66A9" w:rsidRDefault="00FD66A9"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rsidR="00FD66A9" w:rsidRDefault="00FD66A9" w:rsidP="00297AF4">
      <w:pPr>
        <w:spacing w:after="0" w:line="360" w:lineRule="auto"/>
        <w:ind w:firstLine="709"/>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sz w:val="28"/>
          <w:szCs w:val="28"/>
        </w:rPr>
      </w:pPr>
    </w:p>
    <w:p w:rsidR="00941508" w:rsidRPr="00FD66A9" w:rsidRDefault="00941508"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rsidR="00FD66A9" w:rsidRPr="00FD66A9" w:rsidRDefault="00FD66A9"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rsidR="00FD66A9" w:rsidRDefault="00FD66A9" w:rsidP="00297AF4">
      <w:pPr>
        <w:spacing w:after="0" w:line="360" w:lineRule="auto"/>
        <w:ind w:firstLine="708"/>
        <w:rPr>
          <w:rFonts w:ascii="Times New Roman" w:hAnsi="Times New Roman"/>
          <w:b/>
          <w:sz w:val="28"/>
          <w:szCs w:val="28"/>
        </w:rPr>
      </w:pPr>
    </w:p>
    <w:p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rsidR="00FA13C5" w:rsidRPr="00AF70FE" w:rsidRDefault="00FA13C5" w:rsidP="00297AF4">
      <w:pPr>
        <w:spacing w:after="0" w:line="360" w:lineRule="auto"/>
        <w:rPr>
          <w:rFonts w:ascii="Times New Roman" w:hAnsi="Times New Roman"/>
          <w:sz w:val="28"/>
          <w:szCs w:val="28"/>
        </w:rPr>
      </w:pP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rsidR="00DD4732" w:rsidRDefault="00DD4732" w:rsidP="00297AF4">
      <w:pPr>
        <w:spacing w:after="0" w:line="360" w:lineRule="auto"/>
        <w:jc w:val="both"/>
        <w:rPr>
          <w:rFonts w:ascii="Times New Roman" w:eastAsia="Times New Roman" w:hAnsi="Times New Roman"/>
          <w:sz w:val="28"/>
          <w:szCs w:val="28"/>
          <w:lang w:eastAsia="ru-RU"/>
        </w:rPr>
      </w:pPr>
    </w:p>
    <w:p w:rsidR="00DD4732" w:rsidRPr="002B51D5" w:rsidRDefault="00DD4732" w:rsidP="00297AF4">
      <w:pPr>
        <w:spacing w:after="0" w:line="360" w:lineRule="auto"/>
        <w:jc w:val="both"/>
        <w:rPr>
          <w:rFonts w:ascii="Times New Roman" w:eastAsia="Times New Roman" w:hAnsi="Times New Roman"/>
          <w:sz w:val="28"/>
          <w:szCs w:val="28"/>
          <w:lang w:eastAsia="ru-RU"/>
        </w:rPr>
      </w:pPr>
    </w:p>
    <w:p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B297C"/>
    <w:rsid w:val="004C6B6C"/>
    <w:rsid w:val="0054249E"/>
    <w:rsid w:val="00552CF7"/>
    <w:rsid w:val="00590899"/>
    <w:rsid w:val="005D14F9"/>
    <w:rsid w:val="005E0DEE"/>
    <w:rsid w:val="005F4C53"/>
    <w:rsid w:val="005F529A"/>
    <w:rsid w:val="006039A8"/>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BE4555"/>
    <w:rsid w:val="00C4292D"/>
    <w:rsid w:val="00C44E7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C2F2F"/>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FC39"/>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24</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61</cp:revision>
  <dcterms:created xsi:type="dcterms:W3CDTF">2018-11-18T18:15:00Z</dcterms:created>
  <dcterms:modified xsi:type="dcterms:W3CDTF">2021-12-15T11:44:00Z</dcterms:modified>
</cp:coreProperties>
</file>