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7F" w:rsidRDefault="008D4D7F" w:rsidP="008D4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8D4D7F" w:rsidRDefault="008D4D7F" w:rsidP="008D4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8D4D7F" w:rsidRDefault="008D4D7F" w:rsidP="008D4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4A58BA" w:rsidRDefault="004A58BA" w:rsidP="008D4D7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A" w:rsidRDefault="004A58BA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F525DD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F525DD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F525DD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F525DD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F525DD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F525DD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F525DD" w:rsidP="004A58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Поповская </w:t>
      </w:r>
    </w:p>
    <w:p w:rsidR="008D4D7F" w:rsidRDefault="008D4D7F" w:rsidP="008D4D7F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D7F" w:rsidRDefault="008D4D7F" w:rsidP="008D4D7F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D7F" w:rsidRDefault="008D4D7F" w:rsidP="008D4D7F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8D4D7F" w:rsidRDefault="008D4D7F" w:rsidP="008D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:rsidR="008D4D7F" w:rsidRDefault="008D4D7F" w:rsidP="008D4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9109DC" w:rsidRPr="009109DC" w:rsidRDefault="009109DC" w:rsidP="009109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DC">
        <w:rPr>
          <w:rFonts w:ascii="Times New Roman" w:eastAsia="Times New Roman" w:hAnsi="Times New Roman" w:cs="Times New Roman"/>
          <w:sz w:val="28"/>
          <w:szCs w:val="28"/>
          <w:lang w:eastAsia="ru-RU"/>
        </w:rPr>
        <w:t>53.03.06 «Музыкознание и музыкально-прикладное искусство»</w:t>
      </w:r>
    </w:p>
    <w:p w:rsidR="009109DC" w:rsidRPr="009109DC" w:rsidRDefault="009109DC" w:rsidP="009109D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09D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(профиль «Музыковедение»)</w:t>
      </w:r>
    </w:p>
    <w:p w:rsidR="009109DC" w:rsidRPr="009109DC" w:rsidRDefault="009109DC" w:rsidP="009109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DD" w:rsidRDefault="008D4D7F" w:rsidP="008D4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F525DD" w:rsidRDefault="00F525D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4D7F" w:rsidRDefault="008D4D7F" w:rsidP="008D4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4D7F" w:rsidRDefault="008D4D7F" w:rsidP="008D4D7F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8D4D7F" w:rsidTr="00172EE5">
        <w:trPr>
          <w:cantSplit/>
        </w:trPr>
        <w:tc>
          <w:tcPr>
            <w:tcW w:w="8168" w:type="dxa"/>
            <w:gridSpan w:val="2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D4D7F" w:rsidTr="00172EE5">
        <w:tc>
          <w:tcPr>
            <w:tcW w:w="782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D7F" w:rsidTr="00172EE5">
        <w:tc>
          <w:tcPr>
            <w:tcW w:w="782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D7F" w:rsidTr="00172EE5">
        <w:tc>
          <w:tcPr>
            <w:tcW w:w="782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D7F" w:rsidTr="00172EE5">
        <w:tc>
          <w:tcPr>
            <w:tcW w:w="782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D7F" w:rsidTr="00172EE5">
        <w:tc>
          <w:tcPr>
            <w:tcW w:w="782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:rsidR="008D4D7F" w:rsidRDefault="008D4D7F" w:rsidP="00172E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D7F" w:rsidTr="00172EE5">
        <w:tc>
          <w:tcPr>
            <w:tcW w:w="782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D7F" w:rsidTr="00172EE5">
        <w:trPr>
          <w:cantSplit/>
        </w:trPr>
        <w:tc>
          <w:tcPr>
            <w:tcW w:w="782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8D4D7F" w:rsidRDefault="008D4D7F" w:rsidP="00172EE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8D4D7F" w:rsidRDefault="008D4D7F" w:rsidP="00172EE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4D7F" w:rsidTr="00172EE5">
        <w:trPr>
          <w:cantSplit/>
        </w:trPr>
        <w:tc>
          <w:tcPr>
            <w:tcW w:w="8168" w:type="dxa"/>
            <w:gridSpan w:val="2"/>
            <w:hideMark/>
          </w:tcPr>
          <w:p w:rsidR="008D4D7F" w:rsidRDefault="008D4D7F" w:rsidP="00172E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8D4D7F" w:rsidRDefault="008D4D7F" w:rsidP="00172EE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D4D7F" w:rsidRDefault="008D4D7F" w:rsidP="008D4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D4D7F" w:rsidRDefault="008D4D7F" w:rsidP="008D4D7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8D4D7F" w:rsidRDefault="008D4D7F" w:rsidP="008D4D7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8D4D7F" w:rsidRDefault="008D4D7F" w:rsidP="008D4D7F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8D4D7F" w:rsidRDefault="008D4D7F" w:rsidP="008D4D7F">
      <w:pPr>
        <w:tabs>
          <w:tab w:val="left" w:pos="2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8D4D7F" w:rsidRDefault="008D4D7F" w:rsidP="008D4D7F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8D4D7F" w:rsidRDefault="008D4D7F" w:rsidP="008D4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 гуманитарного кругозора, усвоение студентами основных категорий  современного художественного мышления,  идейно-образных,  жанровых, стилевых приоритетов  музыкального искусства, формирование целостного взгляда  на художественный процесс.</w:t>
      </w:r>
    </w:p>
    <w:p w:rsidR="008D4D7F" w:rsidRDefault="008D4D7F" w:rsidP="008D4D7F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8D4D7F" w:rsidRDefault="008D4D7F" w:rsidP="008D4D7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4D7F" w:rsidRPr="00696F7E" w:rsidRDefault="008D4D7F" w:rsidP="008D4D7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6F7E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696F7E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96F7E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D4D7F" w:rsidRPr="00696F7E" w:rsidRDefault="008D4D7F" w:rsidP="008D4D7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6F7E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696F7E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696F7E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8D4D7F" w:rsidRDefault="008D4D7F" w:rsidP="008D4D7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8D4D7F" w:rsidRDefault="008D4D7F" w:rsidP="008D4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9109DC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- 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8D4D7F" w:rsidRDefault="008D4D7F" w:rsidP="008D4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:rsidR="008D4D7F" w:rsidRDefault="008D4D7F" w:rsidP="008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:rsidR="008D4D7F" w:rsidRDefault="008D4D7F" w:rsidP="008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:rsidR="008D4D7F" w:rsidRDefault="008D4D7F" w:rsidP="008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:rsidR="008D4D7F" w:rsidRDefault="008D4D7F" w:rsidP="008D4D7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D7F" w:rsidRDefault="008D4D7F" w:rsidP="008D4D7F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8D4D7F" w:rsidRDefault="008D4D7F" w:rsidP="008D4D7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9109DC">
        <w:rPr>
          <w:rFonts w:ascii="Times New Roman" w:hAnsi="Times New Roman" w:cs="Times New Roman"/>
          <w:sz w:val="28"/>
          <w:szCs w:val="28"/>
          <w:lang w:eastAsia="ru-RU"/>
        </w:rPr>
        <w:t>щая трудоемкость дисциплины –108 часов, аудиторная работа -18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9109DC">
        <w:rPr>
          <w:rFonts w:ascii="Times New Roman" w:hAnsi="Times New Roman" w:cs="Times New Roman"/>
          <w:sz w:val="28"/>
          <w:szCs w:val="28"/>
          <w:lang w:eastAsia="ru-RU"/>
        </w:rPr>
        <w:t>аса, самостоятельная работа – 81 часов. Время изучения - 8-9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:rsidR="009109DC" w:rsidRDefault="008D4D7F" w:rsidP="0091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r w:rsidRPr="009109D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9109DC" w:rsidRPr="009109D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09DC" w:rsidRPr="0091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 второй половины ХХ - начала ХХ</w:t>
      </w:r>
      <w:r w:rsidR="009109DC" w:rsidRPr="00910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109DC" w:rsidRPr="0091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</w:p>
    <w:p w:rsidR="008D4D7F" w:rsidRDefault="008D4D7F" w:rsidP="009109D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проходят в форме лекционных и </w:t>
      </w:r>
      <w:r w:rsidR="009109DC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9109D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Формы контроля:  </w:t>
      </w:r>
      <w:r w:rsidR="009109DC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 контрольные работы, тестирование, ответы по билетам.</w:t>
      </w:r>
    </w:p>
    <w:p w:rsidR="008D4D7F" w:rsidRDefault="008D4D7F" w:rsidP="008D4D7F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p w:rsidR="009109DC" w:rsidRDefault="009109DC" w:rsidP="008D4D7F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 семестр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8"/>
        <w:gridCol w:w="7105"/>
        <w:gridCol w:w="1412"/>
      </w:tblGrid>
      <w:tr w:rsidR="008D4D7F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  <w:p w:rsidR="009109DC" w:rsidRDefault="009109DC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D4D7F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хронология отечественной музыки  второй половины ХХ века.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4D7F" w:rsidTr="00C30298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эстетические тенденции отечественной  музыки второй половины ХХ - начала ХХI веков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4D7F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F0A20" w:rsidP="008F0A20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 w:rsidRPr="008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музыкальном искусстве второй половины  ХХ века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0A20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8F0A20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6ч.</w:t>
            </w:r>
          </w:p>
        </w:tc>
      </w:tr>
      <w:tr w:rsidR="008F0A20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8F0A2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D7F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C30298" w:rsidP="00172EE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оперы на современном этапе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4D7F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0A20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8F0A20">
            <w:pPr>
              <w:spacing w:after="20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8D4D7F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F" w:rsidRDefault="008D4D7F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7F" w:rsidRDefault="008D4D7F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F0A20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8F0A20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семестр</w:t>
            </w:r>
          </w:p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F0A20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C30298" w:rsidP="00172EE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 современной культуры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0A20" w:rsidTr="00C30298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C30298" w:rsidP="00172EE5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0A20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C30298" w:rsidP="00C30298">
            <w:pPr>
              <w:tabs>
                <w:tab w:val="left" w:pos="5955"/>
              </w:tabs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C30298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8F0A20" w:rsidRPr="00C30298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Pr="00C30298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Pr="00C30298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A20" w:rsidRPr="00C30298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C30298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C30298" w:rsidP="00172EE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Символистские тенденции в творчестве 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Губайдулиной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0A20" w:rsidRPr="00C30298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C30298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C30298" w:rsidP="00172EE5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хоровая музыка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20" w:rsidRPr="00C30298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0A20" w:rsidRPr="00C30298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Pr="00C30298" w:rsidRDefault="008F0A20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Pr="00C30298" w:rsidRDefault="008F0A20" w:rsidP="00172EE5">
            <w:pPr>
              <w:spacing w:after="20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0" w:rsidRPr="00C30298" w:rsidRDefault="008F0A20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C30298" w:rsidRPr="00C30298" w:rsidTr="00C30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8" w:rsidRPr="00C30298" w:rsidRDefault="00C30298" w:rsidP="00172EE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8" w:rsidRPr="00C30298" w:rsidRDefault="00C30298" w:rsidP="00172EE5">
            <w:pPr>
              <w:spacing w:after="20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курсу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8" w:rsidRPr="00C30298" w:rsidRDefault="00C30298" w:rsidP="00172EE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ч.</w:t>
            </w:r>
          </w:p>
        </w:tc>
      </w:tr>
    </w:tbl>
    <w:p w:rsidR="008F0A20" w:rsidRPr="00C30298" w:rsidRDefault="008F0A20" w:rsidP="008F0A2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4D7F" w:rsidRDefault="008D4D7F" w:rsidP="008D4D7F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№1.  </w:t>
      </w:r>
      <w:r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 второй половины ХХ века</w:t>
      </w:r>
    </w:p>
    <w:p w:rsidR="008D4D7F" w:rsidRDefault="008D4D7F" w:rsidP="008D4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«новейшая музыка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№2. Новые эстетические тенденции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отечественной  музыки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второй половины ХХ - начала ХХI веков</w:t>
      </w:r>
    </w:p>
    <w:p w:rsidR="008D4D7F" w:rsidRDefault="008D4D7F" w:rsidP="008D4D7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-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 музыкальном искусстве второй половины  ХХ века</w:t>
      </w:r>
    </w:p>
    <w:p w:rsidR="008D4D7F" w:rsidRDefault="008D4D7F" w:rsidP="008D4D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и композиторское творчество: проблемы взаимодействия.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Эволюция  претворения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 разработке фольклорных источников. Возросшая роль внеевропейских культур в мировом художественном процессе.  Усиление культурных контактов и проблема 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школ..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Поиск национальной самобытности в сочетании с новыми формами  композиторской техники.   Основные 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музыкознании (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№4. Неоромантические тенденции в отечественной культуре  второй половины  ХХ века</w:t>
      </w:r>
    </w:p>
    <w:p w:rsidR="008D4D7F" w:rsidRDefault="008D4D7F" w:rsidP="008D4D7F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Возрождение неоромантических тенденций в искусстве 70-80-х </w:t>
      </w:r>
      <w:proofErr w:type="gramStart"/>
      <w:r>
        <w:rPr>
          <w:color w:val="000000"/>
          <w:sz w:val="28"/>
          <w:szCs w:val="28"/>
        </w:rPr>
        <w:t>годов  и</w:t>
      </w:r>
      <w:proofErr w:type="gramEnd"/>
      <w:r>
        <w:rPr>
          <w:color w:val="000000"/>
          <w:sz w:val="28"/>
          <w:szCs w:val="28"/>
        </w:rPr>
        <w:t xml:space="preserve"> на рубеже ХХ – 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синтезу,  обращение к традиции, к культуре прошлого. </w:t>
      </w:r>
      <w:r>
        <w:rPr>
          <w:bCs/>
          <w:sz w:val="28"/>
          <w:szCs w:val="28"/>
        </w:rPr>
        <w:t>Установка на историзм мышления,  «</w:t>
      </w:r>
      <w:proofErr w:type="spellStart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стиля  в  музыкальном творчестве.  </w:t>
      </w:r>
    </w:p>
    <w:p w:rsidR="008D4D7F" w:rsidRDefault="008D4D7F" w:rsidP="008D4D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№5. Символизм в пространстве  современной культуры</w:t>
      </w:r>
    </w:p>
    <w:p w:rsidR="008D4D7F" w:rsidRDefault="008D4D7F" w:rsidP="008D4D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Символизм  как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символизма</w:t>
      </w:r>
      <w:r w:rsidR="00C30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Символизм как метод, тенденция и направление.</w:t>
      </w:r>
      <w:r w:rsidR="00C3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Символистские традиции в музыкальном искусстве 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 Постмодернизм</w:t>
      </w:r>
    </w:p>
    <w:p w:rsidR="008D4D7F" w:rsidRDefault="008D4D7F" w:rsidP="008D4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Постмодернизм как широкое культурное течение, проявляющееся в философии, эстетике, искусстве,  гуманитарных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Новый взгляд на красоту,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безобразного. Тотальный текст. Стирание границ между видами и жанрами.  </w:t>
      </w:r>
    </w:p>
    <w:p w:rsidR="008D4D7F" w:rsidRDefault="008D4D7F" w:rsidP="008D4D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 Жанр симфонии на рубеже веков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симфония-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и Маргарита»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симфония с чертами оратории, вокального цикла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А.Локшин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Камерная симфония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В.Успенский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Ю.Буцко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симфония-сюита, симфонии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А.Тертеряна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симфонические произведения Ф. Караева. Проявление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символической)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:rsidR="008D4D7F" w:rsidRDefault="008D4D7F" w:rsidP="008D4D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 Музыкально-театральные жанры в искусстве рубежа веков</w:t>
      </w:r>
    </w:p>
    <w:p w:rsidR="008D4D7F" w:rsidRDefault="008D4D7F" w:rsidP="008D4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образы,  обновление языка. Жанровый синтез: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 балета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симфонии и оратории («Пушкин. Размышления о поэте»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оперы с балетом и ораторией («Огненное кольцо»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А.Тертеряна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 влияние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опера-фрески («Петр Первый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опера-феерия (« Маяковский начинается»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«Авось»»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 Р. Щедрина).  Эпос в балете («Ярославна» Б. Тищенко).</w:t>
      </w:r>
    </w:p>
    <w:p w:rsidR="008D4D7F" w:rsidRDefault="008D4D7F" w:rsidP="008D4D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D7F" w:rsidRDefault="008D4D7F" w:rsidP="008D4D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№9.  Современная  хоровая музыка</w:t>
      </w:r>
    </w:p>
    <w:p w:rsidR="008D4D7F" w:rsidRDefault="008D4D7F" w:rsidP="008D4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Р. Щедрина). Жанровые симбиозы («Перезвоны»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Возрождение жанра хорового концерта («Пушкинский венок»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Жанр реквиема в музыке 70-90-х годов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В.Артемов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Жанровый генезис «Истории доктора Иоганна Фауста»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Интенсивное развитие хоровых жанров, хоровой театр. Воздействие исполнительской культуры на композиторское творчество.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«по прочтении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 интерпретация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 «Запечатленном ангеле»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Шукшина – в «Перезвонах»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Б.Пастернака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«Литургический концерт»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«Всенощное бдение»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Г.Дмитриева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«Светлое воскресение» В. Рубина). Религиозный ренессанс. Возрождение жанров  реквиема, мессы, хорового концерта. Мемориальная тема в творчестве. Литургическая традиция, обращение к культовым жанрам </w:t>
      </w:r>
    </w:p>
    <w:p w:rsidR="008D4D7F" w:rsidRDefault="008D4D7F" w:rsidP="008D4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D7F" w:rsidRDefault="008D4D7F" w:rsidP="008D4D7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8D4D7F" w:rsidRDefault="008D4D7F" w:rsidP="008D4D7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7F" w:rsidRDefault="008D4D7F" w:rsidP="008D4D7F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</w:t>
      </w:r>
      <w:r w:rsidR="00C3029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удентов: текущий, промежуточный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:rsidR="008D4D7F" w:rsidRDefault="008D4D7F" w:rsidP="008D4D7F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8D4D7F" w:rsidRDefault="008D4D7F" w:rsidP="008D4D7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:rsidR="008D4D7F" w:rsidRDefault="008D4D7F" w:rsidP="008D4D7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8D4D7F" w:rsidRDefault="008D4D7F" w:rsidP="008D4D7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8D4D7F" w:rsidRDefault="008D4D7F" w:rsidP="008D4D7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8D4D7F" w:rsidRDefault="008D4D7F" w:rsidP="008D4D7F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D7F" w:rsidRDefault="008D4D7F" w:rsidP="008D4D7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8D4D7F" w:rsidRDefault="008D4D7F" w:rsidP="008D4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Истории отечественной музыки используются классы №27 (оснащение: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), № 40 (оснащение: пианино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- 1шт., стол – 11шт., стул – 4 шт., скамья – 2шт., доска ученическая – 1шт., телевизор – 1 шт., DVD плеер – 1 шт., компьютер – 1шт), № 46 (оснащение:  рояль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:rsidR="008D4D7F" w:rsidRDefault="008D4D7F" w:rsidP="008D4D7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 и информационное обеспечение дисциплины</w:t>
      </w:r>
    </w:p>
    <w:p w:rsidR="008D4D7F" w:rsidRDefault="008D4D7F" w:rsidP="008D4D7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:rsidR="008D4D7F" w:rsidRDefault="008D4D7F" w:rsidP="008D4D7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Основная: </w:t>
      </w:r>
    </w:p>
    <w:p w:rsidR="008D4D7F" w:rsidRDefault="008D4D7F" w:rsidP="008D4D7F">
      <w:pPr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Москва: Практика, 2010.- 855 с.</w:t>
      </w:r>
    </w:p>
    <w:p w:rsidR="008D4D7F" w:rsidRDefault="008D4D7F" w:rsidP="008D4D7F">
      <w:pPr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Т.Н. История отечественной музыки второй половины XX века. – СПб.: Композитор, 2010 (http://e.lanbook.com/books/element.php?pl1_id=41044) </w:t>
      </w:r>
    </w:p>
    <w:p w:rsidR="008D4D7F" w:rsidRDefault="008D4D7F" w:rsidP="008D4D7F">
      <w:pPr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Отечественная массовая музыка: 1960–1990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СПб.: Лань; Планета музыки, 2016 (http://e.lanbook.com/books/element.php?pl1_id=76307)</w:t>
      </w:r>
    </w:p>
    <w:p w:rsidR="008D4D7F" w:rsidRDefault="008D4D7F" w:rsidP="008D4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Дополнительная:</w:t>
      </w:r>
    </w:p>
    <w:p w:rsidR="008D4D7F" w:rsidRDefault="008D4D7F" w:rsidP="008D4D7F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Музыкальная семиотика: перспективы и пути развития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III Международной научной конференции (13-14 ноября 2013 года) / Гл. ред. Л.В. Саввина; ред.-сост.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Изд-во ГАОУ АО ДПО АИПКП, 2013. - 300 с. 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XXI веке: история, теория, исполнительство, педагогика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ГАОУ АО ДПО "Астраханский институт повышения квалификации и переподготовки", 2014. - 268 с. 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Международной научной конференции 12 - 13 ноября 2015 года / Гл. ред. Л.В. Саввина, ред. - 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ГАОУ АО ДПО "АИПКП", 2015. - 330 с. Музыкальное искусство и наука в современном мире: теория, исполнительство, педагогика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Международной научной конференции 26-27 октября 2016 / Гл. ред. Л.В. Саввина. – Астрахань: Триада, 2016. – 344 с.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Международной научной конференции 9-10 ноября 2017 г. / гл. ред. Л.В. Саввина.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Триада, 2017. - 316 с.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Музыкальное искусство и наука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соврменном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мире: параллели и взаимодействия [Текст]: Сборник научных статей по материалам Международной конференции 13-14 ноября 2012 года / Гл. ред. Л.В. Саввина; ред.-сост.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ГАОУ АО ДПО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"Астраханский институт повышения квалификации и переподготовки", 2012. 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материалов IV Международной научно-практической конференции (Пермь, 10-11 сентября, 2011 г.) / Ред. Н.В. Морозова.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Пермь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- 235 с. 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мир в новом тысячелетии: взгляд из Петербурга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Ч.1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Интервью с композиторами / Сост. и отв. ред. А.В. Епишин. - СПб. : Композитор, 2012. - 112 с. - ISBN 978-5-7379-0493-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7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170-75.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современной музыки [Текст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VI Международной научно-практической конференции (Пермь, 1-2 октября 2013 г.) / Под ред. Н.В. Морозовой. - Пермь, 2013. - 364 с. - 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современной музыки [Текст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VII Международной научно-практической конференции (г. Пермь, 13 - 14 сентября 2014 г.) / Под ред. Н.В. Морозовой.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- 304 с.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Издательский центр «Московская консерватория», 2009.- 192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7F" w:rsidRDefault="008D4D7F" w:rsidP="008D4D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Савенко, С.И. История русской музыки ХХ столетия [Текст]: От Скрябина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С.И.Савенко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.- Москва: Музыка, 2008.- 232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4D7F" w:rsidRDefault="008D4D7F" w:rsidP="008D4D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издания:</w:t>
      </w:r>
    </w:p>
    <w:p w:rsidR="008D4D7F" w:rsidRDefault="008D4D7F" w:rsidP="008D4D7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Привалов С.Б. Русская музыкальная литература. Музыка ХI–начала ХХ века. – СПб.: Композитор, 2010 (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D4D7F" w:rsidRDefault="008D4D7F" w:rsidP="008D4D7F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D7F" w:rsidRDefault="008D4D7F" w:rsidP="008D4D7F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М. Заметки о композиторских школах Петербурга XX века. – СПб.: Композитор, 2012 (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D7F" w:rsidRDefault="008D4D7F" w:rsidP="008D4D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D7F" w:rsidRDefault="008D4D7F" w:rsidP="008D4D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D7F" w:rsidRDefault="008D4D7F" w:rsidP="008D4D7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Отечественная массовая музыка: 1960–1990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СПб.: Лань; Планета музыки, 2016 (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http://e.lanbook.com/books/element.php?pl1_id=76307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D7F" w:rsidRDefault="008D4D7F" w:rsidP="00B905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4D7F" w:rsidRDefault="00B905DE" w:rsidP="00B905DE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Примерные темы контрольных работ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1.Сонорные эксперименты в современной музыке.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Алеаторика в современном творчестве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Композиционно-драматургические эксперименты в современной музыке.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Проблемы развития современной оперы.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5.Шум и тишина в мире современной музыки.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Эмбиэнтная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музыка: перспективы развития.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Новые технологии в мире современной музыки.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8.Мультисерийность в произведениях современных композиторов. </w:t>
      </w:r>
    </w:p>
    <w:p w:rsidR="00B905DE" w:rsidRDefault="00B905DE" w:rsidP="00B905DE">
      <w:pPr>
        <w:spacing w:after="200" w:line="276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:rsidR="008D4D7F" w:rsidRDefault="008D4D7F" w:rsidP="008D4D7F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</w:t>
      </w:r>
    </w:p>
    <w:p w:rsidR="008D4D7F" w:rsidRDefault="008D4D7F" w:rsidP="008D4D7F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Рубеж ХХ-ХХ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музыкальной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 - время кардинальной  переоценки ценностей, утверждения новых парадигм мышления.  Картина развития современного музыкального искусства отличается пестротой и сложностью,  что обусловлено    переплетением разнообразных   тенденций,  частой сменой векторов художественного экспериментирования. Нестабильность ситуации,  мозаичность картины культуры, а также   отсутствие необходимой для  осмысления исторической дистанции    затрудняют    восприятие художественных текстов, познание  данного  периода  развития искусства. </w:t>
      </w: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 музыкальной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Эта учебная дисциплина имеет важное значение в подготовке профессиональных музыкантов, позволяя студентам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 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в развитии  музыкального искусства  ХХ столетия.  Предмет должен помочь студентам, уже  на начальном этапе вузовского обучения, ориентироваться в пространстве современной культуры.</w:t>
      </w: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 развитие широкого  гуманитарного кругозора, усвоение студентами основных категорий  современного художественного мышления,  идейно-образных,  жанровых, стилевых приоритетов  музыкального искусства, формирование целостного взгляда  на художественный процесс. Особую роль в данном курсе  имеет знакомство с новаторскими тенденциями культуры, а также установление линий преемственности в искусстве столетия.</w:t>
      </w: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 в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современной композиции», «Массовая музыкальная культура»,  и другие. Каждая из  них имеет свою проблемно-тематическую и методическую  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ставит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 строится не по хронологическому принципу, чтобы не дублировать  историю  современной зарубежной и отечественной музыки. Значимой методологической установкой курса выступает синхронический подход к явлениям. На занятиях  акцентируются не столько социально-исторические, сколько  эстетические проблемы, основное внимание уделяется  рассмотрению 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:rsidR="008D4D7F" w:rsidRDefault="008D4D7F" w:rsidP="008D4D7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4D7F" w:rsidRDefault="008D4D7F" w:rsidP="008D4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8D4D7F" w:rsidRDefault="008D4D7F" w:rsidP="008D4D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7F" w:rsidRDefault="008D4D7F" w:rsidP="008D4D7F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 «Музыка второй половины ХХ — 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понятиями, их содержанием и определениями.  Особое внимание следует обратить на учебные пособия.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обращаться к справочной литературе  (словарям,  энциклопедиям, различным справочникам).</w:t>
      </w:r>
    </w:p>
    <w:p w:rsidR="008D4D7F" w:rsidRDefault="008D4D7F" w:rsidP="008D4D7F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 знакомства с современной музыкальной литературой, выбора материала для  сообщений приводится список произведений.  </w:t>
      </w:r>
    </w:p>
    <w:p w:rsidR="008D4D7F" w:rsidRDefault="008D4D7F" w:rsidP="008D4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8D4D7F" w:rsidRDefault="008D4D7F" w:rsidP="008D4D7F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:rsidR="008D4D7F" w:rsidRDefault="008D4D7F" w:rsidP="008D4D7F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8D4D7F" w:rsidRDefault="008D4D7F" w:rsidP="008D4D7F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8D4D7F" w:rsidRDefault="008D4D7F" w:rsidP="008D4D7F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8D4D7F" w:rsidRDefault="008D4D7F" w:rsidP="008D4D7F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8D4D7F" w:rsidRDefault="008D4D7F" w:rsidP="008D4D7F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всего его глубокое понимание, стремление и умение применить его для анализа явлений на практике.</w:t>
      </w:r>
    </w:p>
    <w:p w:rsidR="00B905DE" w:rsidRDefault="00B905DE" w:rsidP="008D4D7F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D7F" w:rsidRDefault="008D4D7F" w:rsidP="008D4D7F">
      <w:pPr>
        <w:spacing w:after="0" w:line="360" w:lineRule="auto"/>
        <w:jc w:val="both"/>
      </w:pPr>
    </w:p>
    <w:p w:rsidR="008D4D7F" w:rsidRDefault="008D4D7F" w:rsidP="008D4D7F"/>
    <w:p w:rsidR="00FF55AF" w:rsidRDefault="00FF55AF"/>
    <w:sectPr w:rsidR="00FF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F"/>
    <w:rsid w:val="004A58BA"/>
    <w:rsid w:val="008D4D7F"/>
    <w:rsid w:val="008F0A20"/>
    <w:rsid w:val="009109DC"/>
    <w:rsid w:val="00B905DE"/>
    <w:rsid w:val="00C30298"/>
    <w:rsid w:val="00E63C32"/>
    <w:rsid w:val="00F525DD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11DD"/>
  <w15:docId w15:val="{C58B86F0-12D0-4B63-87BB-085BC63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D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D4D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104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28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2849" TargetMode="External"/><Relationship Id="rId11" Type="http://schemas.openxmlformats.org/officeDocument/2006/relationships/hyperlink" Target="http://e.lanbook.com/books/element.php?pl1_id=76307" TargetMode="External"/><Relationship Id="rId5" Type="http://schemas.openxmlformats.org/officeDocument/2006/relationships/hyperlink" Target="http://e.lanbook.com/books/element.php?pl1_id=41044" TargetMode="External"/><Relationship Id="rId10" Type="http://schemas.openxmlformats.org/officeDocument/2006/relationships/hyperlink" Target="http://e.lanbook.com/books/element.php?pl1_id=10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2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Xenia</cp:lastModifiedBy>
  <cp:revision>3</cp:revision>
  <dcterms:created xsi:type="dcterms:W3CDTF">2019-05-24T17:01:00Z</dcterms:created>
  <dcterms:modified xsi:type="dcterms:W3CDTF">2021-12-15T09:32:00Z</dcterms:modified>
</cp:coreProperties>
</file>