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53" w:rsidRPr="00C019A1" w:rsidRDefault="00ED3E53" w:rsidP="00ED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D3E53" w:rsidRPr="00C019A1" w:rsidRDefault="00ED3E53" w:rsidP="00ED3E5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ED3E53" w:rsidRPr="005C360D" w:rsidRDefault="00ED3E53" w:rsidP="00ED3E5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360D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D9D" w:rsidRDefault="000B3D9D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ED3E53" w:rsidRDefault="00634013" w:rsidP="00A77537">
      <w:pPr>
        <w:keepNext/>
        <w:spacing w:after="0" w:line="360" w:lineRule="auto"/>
        <w:ind w:firstLine="709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D3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Хрущева М.Г.</w:t>
      </w:r>
    </w:p>
    <w:p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013" w:rsidRPr="00634013" w:rsidRDefault="00634013" w:rsidP="00A77537">
      <w:pPr>
        <w:suppressAutoHyphens/>
        <w:spacing w:after="12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4013" w:rsidRPr="00634013" w:rsidRDefault="00634013" w:rsidP="00ED3E53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634013" w:rsidRPr="00634013" w:rsidRDefault="00634013" w:rsidP="00ED3E53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ED3E53" w:rsidRDefault="00ED3E53" w:rsidP="00ED3E53">
      <w:pPr>
        <w:widowControl w:val="0"/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53.03.04 Искусство народного пения</w:t>
      </w:r>
    </w:p>
    <w:p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уровень бакалавриата)</w:t>
      </w:r>
    </w:p>
    <w:p w:rsidR="00ED3E53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Профиль: «</w:t>
      </w:r>
      <w:r w:rsidR="0077228E">
        <w:rPr>
          <w:rFonts w:ascii="Times New Roman" w:hAnsi="Times New Roman"/>
          <w:sz w:val="28"/>
          <w:szCs w:val="28"/>
        </w:rPr>
        <w:t>Хоровое</w:t>
      </w:r>
      <w:r>
        <w:rPr>
          <w:rFonts w:ascii="Times New Roman" w:hAnsi="Times New Roman"/>
          <w:sz w:val="28"/>
          <w:szCs w:val="28"/>
        </w:rPr>
        <w:t xml:space="preserve"> народное пение»</w:t>
      </w:r>
    </w:p>
    <w:p w:rsidR="00ED3E53" w:rsidRPr="00C019A1" w:rsidRDefault="00ED3E53" w:rsidP="00ED3E53">
      <w:pPr>
        <w:pStyle w:val="NoSpacing1"/>
        <w:spacing w:line="360" w:lineRule="auto"/>
        <w:jc w:val="center"/>
        <w:rPr>
          <w:sz w:val="28"/>
          <w:szCs w:val="28"/>
        </w:rPr>
      </w:pPr>
    </w:p>
    <w:p w:rsidR="00ED3E53" w:rsidRPr="00C019A1" w:rsidRDefault="00ED3E53" w:rsidP="00ED3E53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E53" w:rsidRPr="00C019A1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3E53" w:rsidRDefault="00ED3E53" w:rsidP="00ED3E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Астрахань</w:t>
      </w:r>
    </w:p>
    <w:p w:rsidR="000B3D9D" w:rsidRDefault="000B3D9D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</w:p>
    <w:p w:rsidR="00ED3E53" w:rsidRPr="00ED3E53" w:rsidRDefault="00ED3E53" w:rsidP="00ED3E53">
      <w:pPr>
        <w:pStyle w:val="2"/>
        <w:spacing w:line="360" w:lineRule="auto"/>
        <w:jc w:val="center"/>
        <w:rPr>
          <w:color w:val="000000"/>
          <w:szCs w:val="28"/>
        </w:rPr>
      </w:pPr>
      <w:bookmarkStart w:id="0" w:name="_GoBack"/>
      <w:bookmarkEnd w:id="0"/>
      <w:proofErr w:type="spellStart"/>
      <w:r w:rsidRPr="00ED3E53">
        <w:rPr>
          <w:color w:val="000000"/>
          <w:szCs w:val="28"/>
        </w:rPr>
        <w:lastRenderedPageBreak/>
        <w:t>Содержание</w:t>
      </w:r>
      <w:proofErr w:type="spellEnd"/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ED3E53" w:rsidRPr="00ED3E53" w:rsidTr="009F3923">
        <w:trPr>
          <w:cantSplit/>
        </w:trPr>
        <w:tc>
          <w:tcPr>
            <w:tcW w:w="9606" w:type="dxa"/>
            <w:gridSpan w:val="2"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</w:p>
        </w:tc>
      </w:tr>
      <w:tr w:rsidR="00ED3E53" w:rsidRPr="00ED3E53" w:rsidTr="009F3923">
        <w:tc>
          <w:tcPr>
            <w:tcW w:w="782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Цель и задачи курса</w:t>
            </w:r>
          </w:p>
        </w:tc>
      </w:tr>
      <w:tr w:rsidR="00ED3E53" w:rsidRPr="00ED3E53" w:rsidTr="009F3923">
        <w:tc>
          <w:tcPr>
            <w:tcW w:w="782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ED3E53" w:rsidRPr="00ED3E53" w:rsidTr="009F3923">
        <w:tc>
          <w:tcPr>
            <w:tcW w:w="782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ED3E53" w:rsidRPr="00ED3E53" w:rsidTr="009F3923">
        <w:tc>
          <w:tcPr>
            <w:tcW w:w="782" w:type="dxa"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4</w:t>
            </w:r>
          </w:p>
        </w:tc>
        <w:tc>
          <w:tcPr>
            <w:tcW w:w="8824" w:type="dxa"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rStyle w:val="311"/>
                <w:b w:val="0"/>
                <w:sz w:val="28"/>
                <w:szCs w:val="28"/>
              </w:rPr>
            </w:pPr>
            <w:r w:rsidRPr="00ED3E53">
              <w:rPr>
                <w:b w:val="0"/>
                <w:szCs w:val="28"/>
              </w:rPr>
              <w:t>Структура и содержание дисциплины</w:t>
            </w:r>
          </w:p>
        </w:tc>
      </w:tr>
      <w:tr w:rsidR="00ED3E53" w:rsidRPr="00ED3E53" w:rsidTr="009F3923">
        <w:tc>
          <w:tcPr>
            <w:tcW w:w="782" w:type="dxa"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5.</w:t>
            </w:r>
          </w:p>
        </w:tc>
        <w:tc>
          <w:tcPr>
            <w:tcW w:w="8824" w:type="dxa"/>
          </w:tcPr>
          <w:p w:rsidR="00ED3E53" w:rsidRPr="00ED3E53" w:rsidRDefault="00ED3E53" w:rsidP="00ED3E53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ED3E53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ED3E53" w:rsidRPr="00ED3E53" w:rsidTr="009F3923">
        <w:tc>
          <w:tcPr>
            <w:tcW w:w="782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bCs/>
                <w:szCs w:val="28"/>
              </w:rPr>
            </w:pPr>
            <w:r w:rsidRPr="00ED3E53">
              <w:rPr>
                <w:b w:val="0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ED3E53" w:rsidRPr="00ED3E53" w:rsidTr="009F3923">
        <w:trPr>
          <w:cantSplit/>
        </w:trPr>
        <w:tc>
          <w:tcPr>
            <w:tcW w:w="782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jc w:val="center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ED3E53" w:rsidRPr="00ED3E53" w:rsidRDefault="00ED3E53" w:rsidP="00ED3E53">
            <w:pPr>
              <w:pStyle w:val="a3"/>
              <w:spacing w:line="360" w:lineRule="auto"/>
              <w:rPr>
                <w:b w:val="0"/>
                <w:szCs w:val="28"/>
              </w:rPr>
            </w:pPr>
            <w:r w:rsidRPr="00ED3E53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ED3E53" w:rsidRPr="005E1F15" w:rsidTr="009F3923">
        <w:trPr>
          <w:cantSplit/>
        </w:trPr>
        <w:tc>
          <w:tcPr>
            <w:tcW w:w="9606" w:type="dxa"/>
            <w:gridSpan w:val="2"/>
            <w:hideMark/>
          </w:tcPr>
          <w:p w:rsidR="00ED3E53" w:rsidRPr="00CC67DB" w:rsidRDefault="00ED3E53" w:rsidP="00ED3E53">
            <w:pPr>
              <w:pStyle w:val="a3"/>
              <w:spacing w:line="360" w:lineRule="auto"/>
              <w:rPr>
                <w:szCs w:val="28"/>
              </w:rPr>
            </w:pPr>
          </w:p>
        </w:tc>
      </w:tr>
    </w:tbl>
    <w:p w:rsidR="00ED3E53" w:rsidRPr="00B36540" w:rsidRDefault="00ED3E53" w:rsidP="00ED3E53">
      <w:pPr>
        <w:pStyle w:val="af3"/>
        <w:spacing w:line="360" w:lineRule="auto"/>
        <w:jc w:val="both"/>
        <w:rPr>
          <w:b/>
          <w:sz w:val="28"/>
          <w:szCs w:val="28"/>
        </w:rPr>
      </w:pPr>
    </w:p>
    <w:p w:rsidR="00ED3E53" w:rsidRDefault="00ED3E53" w:rsidP="00ED3E53">
      <w:pPr>
        <w:pStyle w:val="af3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</w:t>
      </w:r>
    </w:p>
    <w:p w:rsidR="00ED3E53" w:rsidRPr="00CB33F0" w:rsidRDefault="00ED3E53" w:rsidP="00ED3E53">
      <w:pPr>
        <w:pStyle w:val="af3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рекомендации </w:t>
      </w: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Default="0063401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E53" w:rsidRDefault="00ED3E53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9A" w:rsidRPr="00634013" w:rsidRDefault="00AA769A" w:rsidP="00A775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013" w:rsidRPr="00AA769A" w:rsidRDefault="00634013" w:rsidP="00ED3E53">
      <w:pPr>
        <w:numPr>
          <w:ilvl w:val="0"/>
          <w:numId w:val="34"/>
        </w:numPr>
        <w:tabs>
          <w:tab w:val="left" w:pos="265"/>
        </w:tabs>
        <w:spacing w:after="0" w:line="360" w:lineRule="auto"/>
        <w:ind w:left="0"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A769A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AA769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69A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</w:t>
      </w:r>
      <w:proofErr w:type="gramStart"/>
      <w:r w:rsidRPr="00634013">
        <w:rPr>
          <w:rFonts w:ascii="Times New Roman" w:eastAsia="Calibri" w:hAnsi="Times New Roman" w:cs="Times New Roman"/>
          <w:sz w:val="28"/>
          <w:szCs w:val="28"/>
        </w:rPr>
        <w:t>в полифоническим анализе</w:t>
      </w:r>
      <w:proofErr w:type="gram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63401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ричеркар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, мотет, месса, мадригал,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AA769A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013" w:rsidRPr="00B779E3" w:rsidRDefault="00634013" w:rsidP="00ED3E53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b/>
        </w:rPr>
      </w:pPr>
      <w:r w:rsidRPr="00B779E3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B779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  <w:r w:rsidR="004C73A1" w:rsidRPr="00B779E3">
        <w:rPr>
          <w:b/>
        </w:rPr>
        <w:t xml:space="preserve"> </w:t>
      </w:r>
    </w:p>
    <w:p w:rsidR="00147938" w:rsidRDefault="00147938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общек</w:t>
      </w:r>
      <w:r w:rsidR="00E30D2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льтурные 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компетенции 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1479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ПК):</w:t>
      </w:r>
    </w:p>
    <w:p w:rsidR="00404E6C" w:rsidRDefault="00404E6C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3401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34013" w:rsidRPr="00634013" w:rsidRDefault="00634013" w:rsidP="00ED3E53">
      <w:pPr>
        <w:tabs>
          <w:tab w:val="left" w:pos="298"/>
        </w:tabs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В результате освоения дисциплины у студента должны сформироваться следующие </w:t>
      </w:r>
      <w:r w:rsidRPr="0063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компетенции (ПК): </w:t>
      </w:r>
    </w:p>
    <w:p w:rsidR="00404E6C" w:rsidRDefault="00404E6C" w:rsidP="00ED3E53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записывать, </w:t>
      </w:r>
      <w:proofErr w:type="spellStart"/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нотировать</w:t>
      </w:r>
      <w:proofErr w:type="spellEnd"/>
      <w:r w:rsidR="00ED3E53" w:rsidRPr="00ED3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аранжировать подлинный народно-песенный материал 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(ПК-1</w:t>
      </w:r>
      <w:r w:rsidR="00E349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840A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  <w:r w:rsidRPr="006340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знать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 знать и понимать цели и задачи курса полифонии; систему исторически сложившихся полифонических форм и жанров;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основные виды простого и сложного контрапункта, типы имитационной и имитационно-канонической техники в их исторической эволюции;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композиционную структуру выдающихся образцов полифонической музыки (сочинения «золотого фонда»);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применение полифонических приемов и полифонических форм в </w:t>
      </w:r>
      <w:proofErr w:type="spellStart"/>
      <w:r w:rsidRPr="00634013">
        <w:rPr>
          <w:rFonts w:ascii="Times New Roman" w:eastAsia="Calibri" w:hAnsi="Times New Roman" w:cs="Times New Roman"/>
          <w:sz w:val="28"/>
          <w:szCs w:val="28"/>
        </w:rPr>
        <w:t>неполифонических</w:t>
      </w:r>
      <w:proofErr w:type="spellEnd"/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 (гомофонных) произведениях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новые типы полифонического письма и техники композиции в музыке XX–ХXI вв.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Студент, прошедший курс обучения по дисциплине «Полифония», должен </w:t>
      </w:r>
      <w:r w:rsidRPr="00DE357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выделить его жанрово-стилевые особенности, композиционное строение и отдельные технические детали; 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охарактеризовать художественно-исполнительские задачи и научные проблемы, вытекающие из проведенного анализа; свободно пользоваться соответствующей профессиональной лексикой и терминологией;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 xml:space="preserve">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</w:t>
      </w:r>
      <w:r w:rsidRPr="006340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заданные музыкальные темы, в том числе, на основе предложенного аутентичного образца. 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DE357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63401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основными видами сложного контрапункта и имитационно-канонической техники; техникой сочинения элементарных полифонических композиций в разных стилях и жанрах.</w:t>
      </w:r>
    </w:p>
    <w:p w:rsidR="00634013" w:rsidRP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DE3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634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34013" w:rsidRDefault="00634013" w:rsidP="00ED3E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13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нии; </w:t>
      </w:r>
      <w:r w:rsidRPr="00634013">
        <w:rPr>
          <w:rFonts w:ascii="Times New Roman" w:eastAsia="Calibri" w:hAnsi="Times New Roman" w:cs="Times New Roman"/>
          <w:sz w:val="28"/>
          <w:szCs w:val="28"/>
        </w:rPr>
        <w:t>сравнительной характеристики различных полифонических композиторских стилей;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Calibri" w:hAnsi="Times New Roman" w:cs="Times New Roman"/>
          <w:sz w:val="28"/>
          <w:szCs w:val="28"/>
        </w:rPr>
        <w:t>элементарной историко-стилевой атрибуции (распознавания) музыкальных   текстов;</w:t>
      </w:r>
      <w:r w:rsidR="00DE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:rsidR="00ED3E53" w:rsidRDefault="00ED3E53" w:rsidP="00ED3E53">
      <w:pPr>
        <w:tabs>
          <w:tab w:val="left" w:pos="298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30D2B" w:rsidRPr="0021692C" w:rsidRDefault="00E30D2B" w:rsidP="00ED3E53">
      <w:pPr>
        <w:tabs>
          <w:tab w:val="left" w:pos="298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0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</w:t>
      </w:r>
      <w:r w:rsidRPr="00627C7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виды учебной работы и отчетности</w:t>
      </w:r>
    </w:p>
    <w:p w:rsidR="00E30D2B" w:rsidRDefault="00E30D2B" w:rsidP="00ED3E5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</w:t>
      </w:r>
      <w:r w:rsidR="00840A2D">
        <w:rPr>
          <w:rFonts w:ascii="Times New Roman" w:eastAsia="Calibri" w:hAnsi="Times New Roman" w:cs="Times New Roman"/>
          <w:sz w:val="28"/>
          <w:szCs w:val="28"/>
        </w:rPr>
        <w:t>, из них аудиторных 72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3–4 семестры, по 2 часа в неделю.</w:t>
      </w:r>
      <w:r w:rsidR="00ED3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92C">
        <w:rPr>
          <w:rFonts w:ascii="Times New Roman" w:eastAsia="Calibri" w:hAnsi="Times New Roman" w:cs="Times New Roman"/>
          <w:sz w:val="28"/>
          <w:szCs w:val="28"/>
        </w:rPr>
        <w:t>Формы контроля: 4 семестр – зачет. Формой промежуточной аттестации являются контрольные работы и тесты.</w:t>
      </w:r>
    </w:p>
    <w:p w:rsidR="00E30D2B" w:rsidRPr="00EF0794" w:rsidRDefault="00E30D2B" w:rsidP="00E30D2B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E30D2B" w:rsidRPr="0021692C" w:rsidTr="00DF0ED9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30D2B" w:rsidRPr="009F14CE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30D2B" w:rsidRPr="0021692C" w:rsidTr="00DF0ED9">
        <w:trPr>
          <w:trHeight w:val="173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E349C8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Теория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подвижиного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4.Полифоническое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Полифоническое многоголосие. Четырех-пяти и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шестиголосие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. Многотемные имитации. Канонические двойные, тройные имитации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0D2B" w:rsidRPr="0021692C" w:rsidTr="00E30D2B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</w:t>
            </w:r>
            <w:proofErr w:type="gram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западно-европейской</w:t>
            </w:r>
            <w:proofErr w:type="gram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Палестрины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162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 Фуга – высшая форма полифонии. Общая композиция простой фуги. Типология. Эволюция фуги.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Интермедии.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Тематизм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Двойные, тройные, четверные фуги. Фуга на хорал. Фуга в сочетании с другими формами. Сложная фуга. </w:t>
            </w:r>
            <w:proofErr w:type="spellStart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Стреттная</w:t>
            </w:r>
            <w:proofErr w:type="spellEnd"/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0D2B" w:rsidRPr="0021692C" w:rsidTr="00DF0ED9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73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0D2B" w:rsidRPr="0021692C" w:rsidTr="00DF0ED9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0D2B" w:rsidRPr="0021692C" w:rsidTr="00DF0ED9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E30D2B" w:rsidRPr="0021692C" w:rsidRDefault="00E30D2B" w:rsidP="00DF0E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E30D2B" w:rsidRPr="0021692C" w:rsidRDefault="00E30D2B" w:rsidP="00DF0ED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30D2B" w:rsidRPr="0021692C" w:rsidRDefault="00E30D2B" w:rsidP="00E30D2B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Ричеркар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элементы. Интонационные ряды. Логика интонационного развития в голосах строфы. Принципы развития. Соотношение стабильности и вариативности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рядов.  Мелодическая форма (структура) голосов. Общее (типовое) и индивидуальное (проявление особенностей стиля Лассо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силлабики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Два способа сочинения простого контрапункта: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присочинение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подвижного контрапункта С.И. Танеева. Симметричные контрапункты (с горизонтальной и с вертикальной осью симметрии).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ние сложных контрапунктов в полифонических формах на уровне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элементов,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интонемных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 (отражение этих данных в схемах). Сложные контрапункты в «строгом» стиле и в «свободном» стиле.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Полифоническое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Канонические имитационные формы и их разновидности: канонические имитации и канонические секвенции 1-го и 2-го разрядов.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риспосты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и секвенций. Использование полифонических приемов в трехголосных сочинениях. Соотношение полифонических голосов: ритм их вступления;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в «строгом» и в «свободном» стилях.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соединения голосов в многоголосии в простом контрапункте. Особенности сочинения двойных имитаций в простом и сложном Контра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пунктах. Двойные канонические имитации в простом и сложном контрапунктах. Применение простых и двойных имитаций в жанрах эпохи Возрождения. Особенности двойных имитаций в духовных и светских сочинениях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Окегем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Обрехт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Калвер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Лассо,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:rsidR="00E30D2B" w:rsidRPr="0021692C" w:rsidRDefault="00E30D2B" w:rsidP="00E30D2B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Цикл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цикла.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фактуры и полифонические приемы в светских жанрах. Контрастный контрапункт с идентичным ритмом.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Терцовый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секстовый контрапункты, условия их применения. Соотношение имитационной и контрастной полифонии в светских жанрах. Мадригалы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Лассо в контексте мадригалов эпохи Возрождения.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черты и эволюция полифонических стилей.  Представители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нидерладской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итальянской (римской) полифонических школ эпохи Возрождения. Характеристика стилей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Лассо. Индивидуальные стилевые различия.  Продолжение традиций предшественников и новаторские черты.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</w:t>
      </w:r>
      <w:proofErr w:type="gram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западно-европейской</w:t>
      </w:r>
      <w:proofErr w:type="gram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мадриалов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светских жанров. Значимость такта как метрической единицы; подвижность тематических интонационных рядов относительно метрических точек такта. Тематическая функция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рядов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Переменность синтаксических функций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Обретение знаковой функции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ритмической формул в контексте конкретного произведения.  Подвижность вербального текста относительно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интонемный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один из основных законов полифонической формы. Изначальная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асемантичность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афункциональность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Фуга – высшая форма полифонии. Общая композиция простой фуги. Типология. Эволюция фуги.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Тема. Ответ. Интонационное развитие темы. Мелодическая форма голосов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фуги. Образование производных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интонем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элементов, соотношение проведений темы и производного материала (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интермедий) в мелодической форме голоса; структура каждого мелодического голоса фуги; интонационная драматургия.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развития темы в развивающем разделе простой фуги: тональный, ладотональный; тип полифонического варьирования;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формы развития темы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Реприза фуги. Разновидности репризы простой фуги. Тональная формула репризы. Реприза-кода. Соотношение масштабов репризы с предыдущими разделами фуги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интермедий, их производные варианты от темы,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Разновидности интермедий; строение интермедий; способы связи интермедий; тематическая связь интермедий; алгоритмы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интермедийного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 данной фуге; драматургическая функция интермедий.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Применение сложных контрапунктов в фуге: при соединении темы с удержанными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противосложениями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интермедиях; при связи интермедий друг с другом. Приоритетность сложного вертикально-подвижного контрапункта.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баховской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фуги; типовые тональные планы в мажоро-минорной системе (венские классики, романтики); тональные планы в фугах композиторов ХХ века. Стереотипы тональных планов и структурные зоны отхода от стереотипов.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модельности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простой фуги и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Стреттная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фуга. Фуга-канон.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Фуга в сочетании с другими формами. Фуга в совмещении с сонатной формой, особенности композиции, драматургии, развития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тематизма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«сложная фуга». Разновидности сложных фуг. Особенности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стреттной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фуги и фуги-канона.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Особенности жанра. Вариации на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Полифонические формы и полифонические приемы в хоровых номерах, сценах и в ансамблях.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Pr="00EF0794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:rsidR="00E30D2B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полифонии; ответы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:rsidR="00E30D2B" w:rsidRPr="007039F4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курса полифонии; правильных ответов на </w:t>
      </w:r>
      <w:proofErr w:type="spellStart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:rsidR="00E30D2B" w:rsidRPr="00242A29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A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:rsidR="00E30D2B" w:rsidRPr="0021692C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«Полифония»</w:t>
      </w:r>
    </w:p>
    <w:p w:rsidR="00E30D2B" w:rsidRPr="0021692C" w:rsidRDefault="00E30D2B" w:rsidP="00E30D2B">
      <w:pPr>
        <w:spacing w:after="0" w:line="360" w:lineRule="auto"/>
        <w:ind w:left="435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40: Пианино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E30D2B" w:rsidRPr="0021692C" w:rsidRDefault="00E30D2B" w:rsidP="00E30D2B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Вейбач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стол – 1 шт., стул – 3 шт., шкаф для документов – 1 шт., пульт – 1 шт.</w:t>
      </w:r>
    </w:p>
    <w:p w:rsidR="00E30D2B" w:rsidRPr="0021692C" w:rsidRDefault="00E30D2B" w:rsidP="00E30D2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D2B" w:rsidRDefault="00E30D2B" w:rsidP="00E30D2B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E30D2B" w:rsidRDefault="00ED3E53" w:rsidP="00ED3E5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Основная:</w:t>
      </w:r>
    </w:p>
    <w:p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Абдуллина, Г.В. Полифония. Свободный стиль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/ Г.В. Абдуллина.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— 100 с. — Режим доступа: </w:t>
      </w:r>
      <w:hyperlink r:id="rId5" w:history="1">
        <w:r w:rsidRPr="00ED3E53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https://e.lanbook.com/book/2863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Мартюшева, Н.В. Полифония строгого стиля. Практическое руководство к сочинению контрапунктов в строгом стиле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/ Н.В. Мартюшева.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Лань, Планета музыки, 2018. — 68 с. — Режим доступа: </w:t>
      </w:r>
      <w:hyperlink r:id="rId6" w:history="1">
        <w:r w:rsidRPr="00ED3E53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https://e.lanbook.com/book/113187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:rsidR="00ED3E53" w:rsidRPr="00ED3E53" w:rsidRDefault="00ED3E53" w:rsidP="00ED3E53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Путь к Баху. И. К. Ф. Фишер "Музыкальная Ариадна": Полифония [Электронный ресурс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М.С.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Лань, Планета музыки, 2018. — 68 с. — Режим доступа: </w:t>
      </w:r>
      <w:hyperlink r:id="rId7" w:history="1">
        <w:r w:rsidRPr="00ED3E53">
          <w:rPr>
            <w:rStyle w:val="af2"/>
            <w:rFonts w:ascii="Times New Roman" w:hAnsi="Times New Roman" w:cs="Times New Roman"/>
            <w:sz w:val="28"/>
            <w:szCs w:val="28"/>
          </w:rPr>
          <w:t>https://e.lanbook.com/book/107977</w:t>
        </w:r>
      </w:hyperlink>
      <w:r w:rsidRPr="00ED3E5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с экрана.</w:t>
      </w:r>
    </w:p>
    <w:p w:rsidR="00ED3E53" w:rsidRPr="00ED3E53" w:rsidRDefault="00ED3E53" w:rsidP="00ED3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3E53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lastRenderedPageBreak/>
        <w:t>Абдуллина, Г.В. Полифония. Свободный стиль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факультетов педагогических вузов / Г. В. Абдуллина. -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- 100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979-0-66000-354-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204-50.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Абдуллина, Г.В. Полифония. Строгий стиль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факультетов педагогических вузов / Г. В. Абдуллина. - Санкт-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Композитор, 2010. - 60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979-0-66000-363-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104-50.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И.И.  Полифонические циклы ХХ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музыкальных вузов по курсу "Полифонии" / И. И.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"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 О.Г.", 2012. - 190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ил., нот. - ISBN 978-5-91692-079-6.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И.И. Современная фуга: содержательные аспекты [Текст]: Монография / И.И.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Васирук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– Волгоград, 2011. – 234 с.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, Т.Г. Гармония эпохи романтизма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гармонии для студентов специальности 070111 «Музыковедение» / Т.Г.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. – Волгоград, 2011. – 40 с.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 xml:space="preserve">Кузнецов, И.К.  Полифония в русской музыке ХХ века [Текст] / И. К. Кузнецов.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Дека-ВС, 2012. - 422 с. - ISBN 978-5-901951-52-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1897-20.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>, Б.Д.  Полифонический эскиз как обучающая модель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высших учебных заведений / Б. Д.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2013.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2013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44 с. - ISBN 978-5-8021-1629-6 : 416-75.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Б.Д.  Так фуга или фугато? [Текст] / Б. Д.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ED3E53">
        <w:rPr>
          <w:rFonts w:ascii="Times New Roman" w:hAnsi="Times New Roman" w:cs="Times New Roman"/>
          <w:sz w:val="28"/>
          <w:szCs w:val="28"/>
        </w:rPr>
        <w:t>ПертГУ</w:t>
      </w:r>
      <w:proofErr w:type="spellEnd"/>
      <w:r w:rsidRPr="00ED3E53">
        <w:rPr>
          <w:rFonts w:ascii="Times New Roman" w:hAnsi="Times New Roman" w:cs="Times New Roman"/>
          <w:sz w:val="28"/>
          <w:szCs w:val="28"/>
        </w:rPr>
        <w:t xml:space="preserve">, 2014. - 138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 - ISBN 978-5-8021-1982-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416-75.</w:t>
      </w:r>
    </w:p>
    <w:p w:rsidR="00ED3E53" w:rsidRPr="00ED3E53" w:rsidRDefault="00ED3E53" w:rsidP="00ED3E53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E53">
        <w:rPr>
          <w:rFonts w:ascii="Times New Roman" w:hAnsi="Times New Roman" w:cs="Times New Roman"/>
          <w:sz w:val="28"/>
          <w:szCs w:val="28"/>
        </w:rPr>
        <w:t>Хрущева, М.Г. Полифонический практикум: простая фуга [Текст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методическое пособие: материалы к учебному курсу полифонии / М. Г. Хрущева. -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Изд-во Астраханской государственной консерватории, 2011. - 156 </w:t>
      </w:r>
      <w:proofErr w:type="gramStart"/>
      <w:r w:rsidRPr="00ED3E53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ED3E53">
        <w:rPr>
          <w:rFonts w:ascii="Times New Roman" w:hAnsi="Times New Roman" w:cs="Times New Roman"/>
          <w:sz w:val="28"/>
          <w:szCs w:val="28"/>
        </w:rPr>
        <w:t xml:space="preserve"> нот.</w:t>
      </w:r>
    </w:p>
    <w:p w:rsidR="00E30D2B" w:rsidRDefault="00E30D2B" w:rsidP="00ED3E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9C8" w:rsidRDefault="00E349C8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D2B" w:rsidRPr="00840A2D" w:rsidRDefault="00E30D2B" w:rsidP="00E30D2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840A2D" w:rsidRPr="0084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A2D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роизведения для анализа по темам </w:t>
      </w:r>
    </w:p>
    <w:p w:rsidR="00E30D2B" w:rsidRDefault="00E30D2B" w:rsidP="00E30D2B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углубленного изучения дисциплины «Полифония»</w:t>
      </w:r>
    </w:p>
    <w:p w:rsidR="00E30D2B" w:rsidRPr="0021692C" w:rsidRDefault="00E30D2B" w:rsidP="00E30D2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 Feria. Kyrie.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Lasso: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Ferialis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Kyrie II; Kyrie I.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re, mi, fa, sol, la. Kyrie.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regina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coеlli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Vestiva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Motetus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“Ave Maria”.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Мадригалы: Сб. Мадригалов ознакомительно и выборочно с аудиозаписями).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Материал для анализа по темам 7–12 «простая фуга».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Хиндемит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часть 1.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:rsidR="00E30D2B" w:rsidRPr="0021692C" w:rsidRDefault="00E30D2B" w:rsidP="00E30D2B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«12 фуг» для фортепиано: фуга № 6.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Offertorium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(2.</w:t>
      </w:r>
      <w:r w:rsidRPr="00E30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Versus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Hostias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preces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/quam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olim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Abrahae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фортепиано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«Иоанн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(3-я часть).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:rsidR="00E30D2B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13–16 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:rsidR="00E30D2B" w:rsidRPr="00D74D8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proofErr w:type="spellEnd"/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Вагнер: Вступление к опере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Лоэнгрин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 прелюдии и фуги» ор. 149: фуги c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Бренинг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:rsidR="00E30D2B" w:rsidRPr="0021692C" w:rsidRDefault="00E30D2B" w:rsidP="00E30D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Барток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Музыка для струнных, ударных и челесты; Концерт для оркестра.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Бизе.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Арлезианка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Майстерзингеры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тетралогия.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Риголетто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«Аида».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Фингалова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пещера.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Мусоргский. «Борис Годунов»,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Хованщина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«Кармина Бурана»; «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Катулли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Кармина».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Корскаков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 «Царская невеста»; «Снегурочка»; «Садко».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Рындин: «Всенощное бдение».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Соната для скрипки и ф-п.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proofErr w:type="spellEnd"/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с оркестром, Баллада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0D2B" w:rsidRPr="0021692C" w:rsidRDefault="00E30D2B" w:rsidP="00E30D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sectPr w:rsidR="00E30D2B" w:rsidRPr="002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7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C2F6075"/>
    <w:multiLevelType w:val="hybridMultilevel"/>
    <w:tmpl w:val="45FC32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4E915E9"/>
    <w:multiLevelType w:val="hybridMultilevel"/>
    <w:tmpl w:val="692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8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2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4"/>
  </w:num>
  <w:num w:numId="4">
    <w:abstractNumId w:val="10"/>
  </w:num>
  <w:num w:numId="5">
    <w:abstractNumId w:val="33"/>
  </w:num>
  <w:num w:numId="6">
    <w:abstractNumId w:val="21"/>
  </w:num>
  <w:num w:numId="7">
    <w:abstractNumId w:val="34"/>
  </w:num>
  <w:num w:numId="8">
    <w:abstractNumId w:val="35"/>
  </w:num>
  <w:num w:numId="9">
    <w:abstractNumId w:val="13"/>
  </w:num>
  <w:num w:numId="10">
    <w:abstractNumId w:val="14"/>
  </w:num>
  <w:num w:numId="11">
    <w:abstractNumId w:val="32"/>
  </w:num>
  <w:num w:numId="12">
    <w:abstractNumId w:val="18"/>
  </w:num>
  <w:num w:numId="13">
    <w:abstractNumId w:val="6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30"/>
  </w:num>
  <w:num w:numId="19">
    <w:abstractNumId w:val="17"/>
  </w:num>
  <w:num w:numId="20">
    <w:abstractNumId w:val="16"/>
  </w:num>
  <w:num w:numId="21">
    <w:abstractNumId w:val="7"/>
  </w:num>
  <w:num w:numId="22">
    <w:abstractNumId w:val="0"/>
  </w:num>
  <w:num w:numId="23">
    <w:abstractNumId w:val="12"/>
  </w:num>
  <w:num w:numId="24">
    <w:abstractNumId w:val="29"/>
    <w:lvlOverride w:ilvl="0">
      <w:startOverride w:val="1"/>
    </w:lvlOverride>
  </w:num>
  <w:num w:numId="25">
    <w:abstractNumId w:val="2"/>
  </w:num>
  <w:num w:numId="26">
    <w:abstractNumId w:val="31"/>
  </w:num>
  <w:num w:numId="27">
    <w:abstractNumId w:val="25"/>
  </w:num>
  <w:num w:numId="28">
    <w:abstractNumId w:val="5"/>
  </w:num>
  <w:num w:numId="29">
    <w:abstractNumId w:val="20"/>
  </w:num>
  <w:num w:numId="30">
    <w:abstractNumId w:val="8"/>
  </w:num>
  <w:num w:numId="31">
    <w:abstractNumId w:val="3"/>
  </w:num>
  <w:num w:numId="32">
    <w:abstractNumId w:val="19"/>
  </w:num>
  <w:num w:numId="33">
    <w:abstractNumId w:val="9"/>
  </w:num>
  <w:num w:numId="34">
    <w:abstractNumId w:val="24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E0"/>
    <w:rsid w:val="000353EA"/>
    <w:rsid w:val="000B3D9D"/>
    <w:rsid w:val="00147938"/>
    <w:rsid w:val="001A5362"/>
    <w:rsid w:val="00202B82"/>
    <w:rsid w:val="003A2015"/>
    <w:rsid w:val="00404E6C"/>
    <w:rsid w:val="004C73A1"/>
    <w:rsid w:val="004F702D"/>
    <w:rsid w:val="0057372E"/>
    <w:rsid w:val="00634013"/>
    <w:rsid w:val="006A6777"/>
    <w:rsid w:val="006D57EF"/>
    <w:rsid w:val="00701AA1"/>
    <w:rsid w:val="0077228E"/>
    <w:rsid w:val="007F32E0"/>
    <w:rsid w:val="00840A2D"/>
    <w:rsid w:val="00927321"/>
    <w:rsid w:val="009339BD"/>
    <w:rsid w:val="009B4F87"/>
    <w:rsid w:val="009E5E3D"/>
    <w:rsid w:val="00A77537"/>
    <w:rsid w:val="00AA769A"/>
    <w:rsid w:val="00B779E3"/>
    <w:rsid w:val="00B9442B"/>
    <w:rsid w:val="00BE3273"/>
    <w:rsid w:val="00C0450C"/>
    <w:rsid w:val="00DE3572"/>
    <w:rsid w:val="00E30D2B"/>
    <w:rsid w:val="00E349C8"/>
    <w:rsid w:val="00EA4CD5"/>
    <w:rsid w:val="00ED3E53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4B98"/>
  <w15:docId w15:val="{CA222E52-606D-4598-A995-C296E186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40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0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01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634013"/>
  </w:style>
  <w:style w:type="paragraph" w:styleId="3">
    <w:name w:val="Body Text 3"/>
    <w:basedOn w:val="a"/>
    <w:link w:val="30"/>
    <w:uiPriority w:val="99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40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340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3401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34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34013"/>
  </w:style>
  <w:style w:type="paragraph" w:styleId="a8">
    <w:name w:val="Body Text Indent"/>
    <w:basedOn w:val="a"/>
    <w:link w:val="a9"/>
    <w:rsid w:val="006340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340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34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34013"/>
    <w:pPr>
      <w:ind w:left="720"/>
      <w:contextualSpacing/>
    </w:pPr>
  </w:style>
  <w:style w:type="table" w:styleId="ad">
    <w:name w:val="Table Grid"/>
    <w:basedOn w:val="a1"/>
    <w:uiPriority w:val="59"/>
    <w:rsid w:val="006340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634013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634013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634013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63401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63401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,Основной текст + 11"/>
    <w:rsid w:val="00634013"/>
    <w:rPr>
      <w:spacing w:val="0"/>
      <w:sz w:val="23"/>
    </w:rPr>
  </w:style>
  <w:style w:type="paragraph" w:customStyle="1" w:styleId="NoSpacing1">
    <w:name w:val="No Spacing1"/>
    <w:uiPriority w:val="99"/>
    <w:rsid w:val="0063401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013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34013"/>
  </w:style>
  <w:style w:type="character" w:customStyle="1" w:styleId="34">
    <w:name w:val="Основной текст (3)_"/>
    <w:link w:val="35"/>
    <w:locked/>
    <w:rsid w:val="00634013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34013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6340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63401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401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634013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634013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63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30D2B"/>
    <w:rPr>
      <w:color w:val="0000FF"/>
      <w:u w:val="single"/>
    </w:rPr>
  </w:style>
  <w:style w:type="paragraph" w:styleId="af3">
    <w:name w:val="No Spacing"/>
    <w:uiPriority w:val="1"/>
    <w:qFormat/>
    <w:rsid w:val="00ED3E5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79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13187" TargetMode="External"/><Relationship Id="rId5" Type="http://schemas.openxmlformats.org/officeDocument/2006/relationships/hyperlink" Target="https://e.lanbook.com/book/28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30</cp:revision>
  <dcterms:created xsi:type="dcterms:W3CDTF">2018-09-29T13:20:00Z</dcterms:created>
  <dcterms:modified xsi:type="dcterms:W3CDTF">2021-12-14T14:30:00Z</dcterms:modified>
</cp:coreProperties>
</file>