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7650" w14:textId="77777777" w:rsidR="003116D4" w:rsidRDefault="003116D4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67565D65" w14:textId="5E2E9E44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7749E107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684AB49D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14FFDA9B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7AA" w:rsidRPr="00C10C62" w14:paraId="56D1833F" w14:textId="77777777" w:rsidTr="004C7E1D">
        <w:tc>
          <w:tcPr>
            <w:tcW w:w="4785" w:type="dxa"/>
          </w:tcPr>
          <w:p w14:paraId="69ADC1C9" w14:textId="77777777" w:rsidR="001B77AA" w:rsidRDefault="001B77AA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D4A01B1" w14:textId="77777777" w:rsidR="003116D4" w:rsidRDefault="003116D4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F9D9516" w14:textId="77777777" w:rsidR="003116D4" w:rsidRDefault="003116D4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E5C5BD8" w14:textId="77777777" w:rsidR="003116D4" w:rsidRDefault="003116D4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0035FEB" w14:textId="77777777" w:rsidR="003116D4" w:rsidRDefault="003116D4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1AB2CFA" w14:textId="77777777" w:rsidR="003116D4" w:rsidRDefault="003116D4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96AC77A" w14:textId="77777777" w:rsidR="003116D4" w:rsidRDefault="003116D4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CC9EF09" w14:textId="77777777" w:rsidR="003116D4" w:rsidRDefault="003116D4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841BA96" w14:textId="77777777" w:rsidR="003116D4" w:rsidRDefault="003116D4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20DEEC8" w14:textId="59E3EE81" w:rsidR="003116D4" w:rsidRPr="00C10C62" w:rsidRDefault="003116D4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B8E2295" w14:textId="1E19AC36" w:rsidR="001B77AA" w:rsidRPr="00C10C62" w:rsidRDefault="001B77AA" w:rsidP="005D5D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EA4EEEA" w14:textId="77777777" w:rsidR="001B77AA" w:rsidRPr="00740314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14:paraId="586E577B" w14:textId="77777777"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14:paraId="1C1EE6AC" w14:textId="77777777"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14:paraId="688417EB" w14:textId="77777777"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14:paraId="2E967E7E" w14:textId="77777777"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5E7F85BB" w14:textId="77777777" w:rsidR="001B77AA" w:rsidRPr="00B358A1" w:rsidRDefault="001B77AA" w:rsidP="001B25C1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5D3A4E98" w14:textId="77777777" w:rsidR="001B77AA" w:rsidRDefault="001B77AA" w:rsidP="001B25C1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20E5FA22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b/>
          <w:szCs w:val="28"/>
          <w:lang w:eastAsia="ru-RU"/>
        </w:rPr>
      </w:pPr>
      <w:r>
        <w:rPr>
          <w:rFonts w:eastAsia="MS Mincho"/>
          <w:szCs w:val="28"/>
          <w:lang w:eastAsia="ru-RU"/>
        </w:rPr>
        <w:t>Направление подготовки:</w:t>
      </w:r>
    </w:p>
    <w:p w14:paraId="31B9A6D2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 w:rsidRPr="00237B75">
        <w:rPr>
          <w:rFonts w:eastAsia="MS Mincho"/>
          <w:szCs w:val="28"/>
          <w:lang w:eastAsia="ru-RU"/>
        </w:rPr>
        <w:t>53.03.0</w:t>
      </w:r>
      <w:r w:rsidR="00981925">
        <w:rPr>
          <w:rFonts w:eastAsia="MS Mincho"/>
          <w:szCs w:val="28"/>
          <w:lang w:eastAsia="ru-RU"/>
        </w:rPr>
        <w:t>4</w:t>
      </w:r>
      <w:r w:rsidRPr="00237B75">
        <w:rPr>
          <w:rFonts w:eastAsia="MS Mincho"/>
          <w:szCs w:val="28"/>
          <w:lang w:eastAsia="ru-RU"/>
        </w:rPr>
        <w:t xml:space="preserve"> «</w:t>
      </w:r>
      <w:r w:rsidR="00E7480C">
        <w:rPr>
          <w:rFonts w:eastAsia="MS Mincho"/>
          <w:szCs w:val="28"/>
          <w:lang w:eastAsia="ru-RU"/>
        </w:rPr>
        <w:t>И</w:t>
      </w:r>
      <w:r w:rsidRPr="00237B75">
        <w:rPr>
          <w:rFonts w:eastAsia="MS Mincho"/>
          <w:szCs w:val="28"/>
          <w:lang w:eastAsia="ru-RU"/>
        </w:rPr>
        <w:t>скусство</w:t>
      </w:r>
      <w:r w:rsidR="00E7480C">
        <w:rPr>
          <w:rFonts w:eastAsia="MS Mincho"/>
          <w:szCs w:val="28"/>
          <w:lang w:eastAsia="ru-RU"/>
        </w:rPr>
        <w:t xml:space="preserve"> народного пения</w:t>
      </w:r>
      <w:r w:rsidRPr="00237B75">
        <w:rPr>
          <w:rFonts w:eastAsia="MS Mincho"/>
          <w:szCs w:val="28"/>
          <w:lang w:eastAsia="ru-RU"/>
        </w:rPr>
        <w:t>»</w:t>
      </w:r>
    </w:p>
    <w:p w14:paraId="3A41902B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>(уровень бакалавриата)</w:t>
      </w:r>
    </w:p>
    <w:p w14:paraId="00449F36" w14:textId="77777777" w:rsidR="001B25C1" w:rsidRPr="00237B75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 xml:space="preserve">Профиль: </w:t>
      </w:r>
      <w:r w:rsidR="005F10A6">
        <w:rPr>
          <w:rFonts w:eastAsia="MS Mincho"/>
          <w:szCs w:val="28"/>
          <w:lang w:eastAsia="ru-RU"/>
        </w:rPr>
        <w:t>Хоровое</w:t>
      </w:r>
      <w:r w:rsidR="00E7480C">
        <w:rPr>
          <w:rFonts w:eastAsia="MS Mincho"/>
          <w:szCs w:val="28"/>
          <w:lang w:eastAsia="ru-RU"/>
        </w:rPr>
        <w:t xml:space="preserve"> народное пение</w:t>
      </w:r>
    </w:p>
    <w:p w14:paraId="639C8912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7436910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40222D6E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A35ABA6" w14:textId="77777777" w:rsidR="001B77AA" w:rsidRPr="00430767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8070593" w14:textId="77777777"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14:paraId="406DC56C" w14:textId="77777777" w:rsidR="001B77AA" w:rsidRDefault="001B77AA" w:rsidP="001B77AA">
      <w:pPr>
        <w:rPr>
          <w:rFonts w:eastAsia="Times New Roman"/>
          <w:szCs w:val="28"/>
          <w:lang w:eastAsia="ru-RU"/>
        </w:rPr>
      </w:pPr>
    </w:p>
    <w:p w14:paraId="4E3BA52A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613C096F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5742C49C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377D73FB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62D73FD2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06948A48" w14:textId="77777777" w:rsidR="003116D4" w:rsidRDefault="003116D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14B29AF7" w14:textId="2C9FB94D" w:rsidR="001B77AA" w:rsidRPr="00615C74" w:rsidRDefault="001B77AA" w:rsidP="001B77AA">
      <w:pPr>
        <w:pStyle w:val="ac"/>
        <w:jc w:val="center"/>
        <w:rPr>
          <w:b/>
          <w:i/>
          <w:caps/>
          <w:szCs w:val="28"/>
        </w:rPr>
      </w:pPr>
      <w:bookmarkStart w:id="0" w:name="_GoBack"/>
      <w:bookmarkEnd w:id="0"/>
      <w:r w:rsidRPr="00615C74">
        <w:rPr>
          <w:b/>
          <w:i/>
          <w:caps/>
          <w:szCs w:val="28"/>
        </w:rPr>
        <w:lastRenderedPageBreak/>
        <w:t>С</w:t>
      </w:r>
      <w:r w:rsidR="005D5D98" w:rsidRPr="00615C74">
        <w:rPr>
          <w:b/>
          <w:i/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14:paraId="5ED96C52" w14:textId="77777777" w:rsidTr="005D5D98">
        <w:trPr>
          <w:cantSplit/>
        </w:trPr>
        <w:tc>
          <w:tcPr>
            <w:tcW w:w="9464" w:type="dxa"/>
            <w:gridSpan w:val="2"/>
            <w:hideMark/>
          </w:tcPr>
          <w:p w14:paraId="22EFA6A9" w14:textId="77777777" w:rsidR="005D5D98" w:rsidRPr="005E1F15" w:rsidRDefault="005D5D98" w:rsidP="001B77AA">
            <w:pPr>
              <w:pStyle w:val="ac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14:paraId="6AD52B6B" w14:textId="77777777" w:rsidTr="005D5D98">
        <w:tc>
          <w:tcPr>
            <w:tcW w:w="782" w:type="dxa"/>
            <w:hideMark/>
          </w:tcPr>
          <w:p w14:paraId="561D7834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43994ABE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14:paraId="4C3B725E" w14:textId="77777777" w:rsidTr="005D5D98">
        <w:tc>
          <w:tcPr>
            <w:tcW w:w="782" w:type="dxa"/>
            <w:hideMark/>
          </w:tcPr>
          <w:p w14:paraId="0EEFA441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A7D192C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14:paraId="54332E5D" w14:textId="77777777" w:rsidTr="005D5D98">
        <w:tc>
          <w:tcPr>
            <w:tcW w:w="782" w:type="dxa"/>
            <w:hideMark/>
          </w:tcPr>
          <w:p w14:paraId="1F9F61A2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40714364" w14:textId="77777777" w:rsidR="005D5D98" w:rsidRPr="00F041A1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14:paraId="69ACB8AF" w14:textId="77777777" w:rsidTr="005D5D98">
        <w:tc>
          <w:tcPr>
            <w:tcW w:w="782" w:type="dxa"/>
            <w:hideMark/>
          </w:tcPr>
          <w:p w14:paraId="4A869A39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28D760E3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14:paraId="662863EA" w14:textId="77777777" w:rsidTr="005D5D98">
        <w:tc>
          <w:tcPr>
            <w:tcW w:w="782" w:type="dxa"/>
          </w:tcPr>
          <w:p w14:paraId="2235F1B6" w14:textId="77777777" w:rsidR="005D5D98" w:rsidRPr="005E1F15" w:rsidRDefault="005D5D98" w:rsidP="0027384C">
            <w:pPr>
              <w:pStyle w:val="ac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0A868852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14:paraId="4FC2B247" w14:textId="77777777" w:rsidTr="005D5D98">
        <w:tc>
          <w:tcPr>
            <w:tcW w:w="782" w:type="dxa"/>
            <w:hideMark/>
          </w:tcPr>
          <w:p w14:paraId="368DF5B4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7F17D13B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14:paraId="79777D09" w14:textId="77777777" w:rsidTr="005D5D98">
        <w:trPr>
          <w:cantSplit/>
        </w:trPr>
        <w:tc>
          <w:tcPr>
            <w:tcW w:w="782" w:type="dxa"/>
            <w:hideMark/>
          </w:tcPr>
          <w:p w14:paraId="7B3E32B8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1C2CB063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7804AF83" w14:textId="77777777" w:rsidR="001B77AA" w:rsidRDefault="001B77AA" w:rsidP="001B77AA">
      <w:pPr>
        <w:pStyle w:val="ac"/>
        <w:rPr>
          <w:b/>
          <w:szCs w:val="28"/>
        </w:rPr>
      </w:pPr>
    </w:p>
    <w:p w14:paraId="66CE2E7F" w14:textId="77777777" w:rsidR="001B77AA" w:rsidRPr="00110049" w:rsidRDefault="001B77AA" w:rsidP="001B77AA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0EDAAC5C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76130050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51FFF46C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6350BAB5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2B17AC0A" w14:textId="77777777"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14:paraId="462FBFE4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30E179E0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550D5D5E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7CC3B490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7AF2FB35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14:paraId="569C2D0B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4078E486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78E3C73C" w14:textId="77777777"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14:paraId="555F51D7" w14:textId="77777777"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4D3877D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14:paraId="02018CD9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10850A6C" w14:textId="77777777"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14:paraId="5AED7D71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14:paraId="63F24F56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14:paraId="61DA76AC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14:paraId="15079BEC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14:paraId="5FF574BD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14:paraId="668C65DA" w14:textId="77777777"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14:paraId="332C4B51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45522436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14:paraId="7B4417E3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14:paraId="7E554B5C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14:paraId="2938F7D8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14:paraId="0988D0D8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60C0AADC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14:paraId="5A67A332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14:paraId="54EC96DF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14:paraId="1364BD75" w14:textId="77777777"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14:paraId="1AC5002E" w14:textId="77777777"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FC097B" w:rsidRPr="005D5D98">
        <w:rPr>
          <w:szCs w:val="28"/>
        </w:rPr>
        <w:t xml:space="preserve">способностью использовать приемы оказания первой помощи, методы защиты в условиях чрезвычайных ситуаций </w:t>
      </w:r>
      <w:r w:rsidRPr="005D5D98">
        <w:rPr>
          <w:szCs w:val="28"/>
        </w:rPr>
        <w:t>(ОК-8)</w:t>
      </w:r>
      <w:r w:rsidR="005D5D98">
        <w:rPr>
          <w:szCs w:val="28"/>
        </w:rPr>
        <w:t>.</w:t>
      </w:r>
    </w:p>
    <w:bookmarkEnd w:id="1"/>
    <w:p w14:paraId="12A4B3EA" w14:textId="77777777" w:rsidR="005D5D98" w:rsidRDefault="005D5D98" w:rsidP="005D5D98">
      <w:pPr>
        <w:pStyle w:val="a5"/>
        <w:spacing w:line="360" w:lineRule="auto"/>
        <w:rPr>
          <w:szCs w:val="28"/>
        </w:rPr>
      </w:pPr>
    </w:p>
    <w:p w14:paraId="5396CB42" w14:textId="77777777"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14:paraId="5B00861B" w14:textId="77777777" w:rsidR="001B77AA" w:rsidRPr="005D5D98" w:rsidRDefault="00F96237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14:paraId="3E259F90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14:paraId="6FE19E85" w14:textId="77777777" w:rsidTr="005D5D98">
        <w:trPr>
          <w:trHeight w:val="388"/>
        </w:trPr>
        <w:tc>
          <w:tcPr>
            <w:tcW w:w="1242" w:type="dxa"/>
            <w:vMerge w:val="restart"/>
          </w:tcPr>
          <w:p w14:paraId="4467246A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14:paraId="43ECCCD3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14:paraId="6E7A9E14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710F66E4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76EB1BF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14:paraId="349C6BD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14:paraId="627A34B6" w14:textId="77777777" w:rsidTr="005D5D98">
        <w:tc>
          <w:tcPr>
            <w:tcW w:w="1242" w:type="dxa"/>
            <w:vMerge/>
          </w:tcPr>
          <w:p w14:paraId="3D8B53D8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14:paraId="251C654E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14:paraId="4D672106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086ACC28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14:paraId="0426E05E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14:paraId="6A1369BB" w14:textId="77777777" w:rsidTr="005D5D98">
        <w:tc>
          <w:tcPr>
            <w:tcW w:w="1242" w:type="dxa"/>
            <w:vAlign w:val="center"/>
          </w:tcPr>
          <w:p w14:paraId="05451DA9" w14:textId="77777777"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14:paraId="478F9351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14:paraId="296DDE3D" w14:textId="77777777" w:rsidTr="005D5D98">
        <w:tc>
          <w:tcPr>
            <w:tcW w:w="1242" w:type="dxa"/>
            <w:vAlign w:val="center"/>
          </w:tcPr>
          <w:p w14:paraId="05CC2CF0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14:paraId="04E4AC49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 xml:space="preserve">Правовое регулирование безопасности </w:t>
            </w:r>
            <w:r w:rsidRPr="005D5D98">
              <w:rPr>
                <w:rFonts w:eastAsia="Times New Roman"/>
                <w:szCs w:val="28"/>
                <w:lang w:eastAsia="ar-SA"/>
              </w:rPr>
              <w:lastRenderedPageBreak/>
              <w:t>жизнедеятельности населения.</w:t>
            </w:r>
          </w:p>
        </w:tc>
        <w:tc>
          <w:tcPr>
            <w:tcW w:w="1230" w:type="dxa"/>
          </w:tcPr>
          <w:p w14:paraId="53B22FBB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4</w:t>
            </w:r>
          </w:p>
        </w:tc>
        <w:tc>
          <w:tcPr>
            <w:tcW w:w="2044" w:type="dxa"/>
          </w:tcPr>
          <w:p w14:paraId="75DDF026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5E52CC20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4C419245" w14:textId="77777777" w:rsidTr="005D5D98">
        <w:tc>
          <w:tcPr>
            <w:tcW w:w="1242" w:type="dxa"/>
            <w:vAlign w:val="center"/>
          </w:tcPr>
          <w:p w14:paraId="76F3923D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14:paraId="793E2452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14:paraId="600448DC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1F6C0F7E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F9B1A0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56B6B16E" w14:textId="77777777" w:rsidTr="005D5D98">
        <w:tc>
          <w:tcPr>
            <w:tcW w:w="1242" w:type="dxa"/>
            <w:vAlign w:val="center"/>
          </w:tcPr>
          <w:p w14:paraId="0A954F37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14:paraId="1D0CA4E9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14:paraId="091F2D67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0C1D8916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420BB1A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7A99E3DC" w14:textId="77777777" w:rsidTr="005D5D98">
        <w:tc>
          <w:tcPr>
            <w:tcW w:w="1242" w:type="dxa"/>
            <w:vAlign w:val="center"/>
          </w:tcPr>
          <w:p w14:paraId="39C1B2C3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14:paraId="56F3A899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14:paraId="5C97D38A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479B4CCB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2BDDE4A9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4A545FB0" w14:textId="77777777" w:rsidTr="005D5D98">
        <w:tc>
          <w:tcPr>
            <w:tcW w:w="1242" w:type="dxa"/>
            <w:vAlign w:val="center"/>
          </w:tcPr>
          <w:p w14:paraId="7CC75F29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14:paraId="079AABFF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14:paraId="53C5121A" w14:textId="77777777"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14:paraId="69C2EE8E" w14:textId="77777777" w:rsidTr="005D5D98">
        <w:tc>
          <w:tcPr>
            <w:tcW w:w="1242" w:type="dxa"/>
            <w:vAlign w:val="center"/>
          </w:tcPr>
          <w:p w14:paraId="21E7C086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14:paraId="52D1A97F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14:paraId="50605EA7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1C1C0DA1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B438E9C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536C7361" w14:textId="77777777" w:rsidTr="005D5D98">
        <w:tc>
          <w:tcPr>
            <w:tcW w:w="1242" w:type="dxa"/>
            <w:vAlign w:val="center"/>
          </w:tcPr>
          <w:p w14:paraId="7646AF66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14:paraId="10C3D8E3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14:paraId="4464479E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561C595B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89CD38C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3E5D3804" w14:textId="77777777" w:rsidTr="005D5D98">
        <w:tc>
          <w:tcPr>
            <w:tcW w:w="1242" w:type="dxa"/>
            <w:vAlign w:val="center"/>
          </w:tcPr>
          <w:p w14:paraId="0293420F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14:paraId="6659E98D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14:paraId="2261B798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19CD05E2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9676366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7B10317B" w14:textId="77777777" w:rsidTr="005D5D98">
        <w:tc>
          <w:tcPr>
            <w:tcW w:w="1242" w:type="dxa"/>
            <w:vAlign w:val="center"/>
          </w:tcPr>
          <w:p w14:paraId="193AC3E0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14:paraId="7E793AB8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14:paraId="0BCE9697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0F73C825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7D1EA2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4E7E8E6B" w14:textId="77777777" w:rsidTr="005D5D98">
        <w:tc>
          <w:tcPr>
            <w:tcW w:w="1242" w:type="dxa"/>
            <w:vAlign w:val="center"/>
          </w:tcPr>
          <w:p w14:paraId="374723AF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14:paraId="3F30CEE9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14:paraId="5E14057C" w14:textId="77777777" w:rsidTr="005D5D98">
        <w:tc>
          <w:tcPr>
            <w:tcW w:w="1242" w:type="dxa"/>
            <w:vAlign w:val="center"/>
          </w:tcPr>
          <w:p w14:paraId="682A8D8A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14:paraId="4384CBD6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14:paraId="588CAF60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2830DF87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5FBF5D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14:paraId="583035EE" w14:textId="77777777" w:rsidTr="005D5D98">
        <w:tc>
          <w:tcPr>
            <w:tcW w:w="1242" w:type="dxa"/>
          </w:tcPr>
          <w:p w14:paraId="41235CF5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14:paraId="04B206F6" w14:textId="77777777"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14:paraId="3CC1CAAF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14:paraId="718961B4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14:paraId="3E763731" w14:textId="77777777"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14:paraId="4C91D137" w14:textId="77777777"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14:paraId="1113F816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14:paraId="462113F2" w14:textId="77777777"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14:paraId="7E070E57" w14:textId="77777777"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14:paraId="6FBE213B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14:paraId="6C0DB790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</w:t>
      </w:r>
      <w:r w:rsidRPr="005D5D98">
        <w:rPr>
          <w:bCs/>
          <w:szCs w:val="28"/>
        </w:rPr>
        <w:lastRenderedPageBreak/>
        <w:t xml:space="preserve">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14:paraId="6547F523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14943A3A" w14:textId="77777777"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14:paraId="158A75E0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14:paraId="7BD8CBB1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470B43C8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14:paraId="16341A83" w14:textId="77777777"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14:paraId="67E9D8AC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14:paraId="112A2A76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14:paraId="19AB9A88" w14:textId="77777777"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14:paraId="67540695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1D8D5E4B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14:paraId="536726C1" w14:textId="77777777"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14:paraId="3746AD34" w14:textId="77777777" w:rsidR="00E80110" w:rsidRPr="005D5D98" w:rsidRDefault="00E80110" w:rsidP="005D5D98">
      <w:pPr>
        <w:spacing w:line="360" w:lineRule="auto"/>
        <w:rPr>
          <w:szCs w:val="28"/>
        </w:rPr>
      </w:pPr>
    </w:p>
    <w:p w14:paraId="2D6F7DBB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14:paraId="2937409B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14:paraId="47B653B3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lastRenderedPageBreak/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14:paraId="38B5C841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30D0315E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14:paraId="3E02AF20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08053F83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14:paraId="4C6232BF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14:paraId="6E419F07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14:paraId="667EC0FB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14:paraId="27BE5DB0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4D1CF01E" w14:textId="77777777"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14:paraId="6A349E2A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14:paraId="7FA4A757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6AB4BEFF" w14:textId="77777777"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3310295C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0E0F7768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14:paraId="0264811D" w14:textId="77777777"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14:paraId="64B9EF14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14:paraId="4C15BF4A" w14:textId="77777777"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79584F5F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14:paraId="4BE9F961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14:paraId="6A10E078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24803A74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664F4C54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Потоцкий,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0B302AB4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lastRenderedPageBreak/>
        <w:t>Дополнительная:</w:t>
      </w:r>
    </w:p>
    <w:p w14:paraId="51E2FC5A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14:paraId="0BF7F50C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Бондин, В. Безопасность жизнедеятельности. – Ростов-на-Дону, 20005. – 351 с.</w:t>
      </w:r>
    </w:p>
    <w:p w14:paraId="42807380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54DBBA6F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14:paraId="0C8C125D" w14:textId="77777777"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14:paraId="74A92BAF" w14:textId="77777777"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14:paraId="18FDD7B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Конституция РФ. М. 1993.</w:t>
      </w:r>
    </w:p>
    <w:p w14:paraId="5D49DDD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14:paraId="75D0C185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14:paraId="649CF68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14:paraId="74AAE34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14:paraId="5ADDD7C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14:paraId="0BAC0E78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14:paraId="62B3B9E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14:paraId="23EFC87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40EAF04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101176BE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14:paraId="0905166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2339AD9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14:paraId="76C60FF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27604058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14:paraId="329124F2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14:paraId="05431B8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7A82D13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07A040E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14:paraId="29E5F02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14:paraId="753AB7A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14:paraId="68A5217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14:paraId="2201C64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14:paraId="392112F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14:paraId="44E0B6B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14:paraId="7BCF4EE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14:paraId="5B137A8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14:paraId="1550F300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14:paraId="5D870BEF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14:paraId="20E1ADDD" w14:textId="77777777" w:rsidR="00C17039" w:rsidRPr="005D5D98" w:rsidRDefault="00C17039" w:rsidP="005D5D98">
      <w:pPr>
        <w:spacing w:line="360" w:lineRule="auto"/>
        <w:rPr>
          <w:szCs w:val="28"/>
        </w:rPr>
      </w:pPr>
    </w:p>
    <w:p w14:paraId="0CD7A931" w14:textId="77777777"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14:paraId="48826F3A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4EF1E746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31425527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14:paraId="58C98226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698A2D0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C27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620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14:paraId="69C120C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D74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B7E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14:paraId="3B87E5E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BEB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5A1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14:paraId="2F773C0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19A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A32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14:paraId="147A794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B41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484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14:paraId="479B149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7C2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B83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14:paraId="5F6E496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575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96A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14:paraId="05D5CFD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FD7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7A2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14:paraId="3D38713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32B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22E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14:paraId="096493E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BDF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AF8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14:paraId="2EFB6D0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DD4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C68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14:paraId="576D448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6C6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64F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14:paraId="0D600B9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E51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4D3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14:paraId="31FF365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091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3BC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14:paraId="6B72FB9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504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5F2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14:paraId="5B24D95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827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CD3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14:paraId="1F17DF2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F6A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4D8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14:paraId="3BC0929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B97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318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14:paraId="7DDC5D0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7BE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FB6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09E9B681" w14:textId="77777777"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14:paraId="660B2823" w14:textId="77777777"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0735782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A62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CF8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14:paraId="7B357A7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CD9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9D4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14:paraId="31352A5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61C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B43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14:paraId="344B5EF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ABC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2A1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14:paraId="78B6515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3D9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5F6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14:paraId="52DCBC1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A5B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4A2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14:paraId="423F4C1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BD3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87F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14:paraId="3106AF1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8B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45C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14:paraId="5BA21BF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516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C78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14:paraId="6E73D36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8E7F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EE6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14:paraId="60E2096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2FC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520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14:paraId="534C6E6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57A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C9E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14:paraId="6862994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2F1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B49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14:paraId="14C2895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5C1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C9E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14:paraId="07D6589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B45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D46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14:paraId="5EB7215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E13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C99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14:paraId="6AED5AC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A42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754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14:paraId="63EC1E2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FF7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D99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14:paraId="6BB8C40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E26D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1FE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14:paraId="4FD6944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E63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939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14:paraId="5479129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E0E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E29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14:paraId="01EE531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22D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A47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14:paraId="2846387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D97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A03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14:paraId="72ED348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23C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23C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14:paraId="422726E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F18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148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14:paraId="20D390E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5E0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4B3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14:paraId="36D44FC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69D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B76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0A0538D9" w14:textId="77777777" w:rsidR="00C17039" w:rsidRDefault="00C17039" w:rsidP="001B77AA">
      <w:pPr>
        <w:tabs>
          <w:tab w:val="left" w:pos="289"/>
        </w:tabs>
        <w:rPr>
          <w:b/>
          <w:szCs w:val="28"/>
        </w:rPr>
      </w:pPr>
    </w:p>
    <w:p w14:paraId="05628F1D" w14:textId="77777777" w:rsidR="001B77AA" w:rsidRDefault="001B77AA" w:rsidP="001B77AA">
      <w:pPr>
        <w:rPr>
          <w:szCs w:val="28"/>
        </w:rPr>
      </w:pPr>
    </w:p>
    <w:p w14:paraId="3118FA71" w14:textId="77777777"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264C8FA7" w14:textId="77777777"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622FC1E6" w14:textId="77777777" w:rsidR="005D5D98" w:rsidRPr="00A27DAD" w:rsidRDefault="005D5D98" w:rsidP="001B77AA">
      <w:pPr>
        <w:jc w:val="right"/>
        <w:rPr>
          <w:b/>
          <w:szCs w:val="28"/>
        </w:rPr>
      </w:pPr>
    </w:p>
    <w:p w14:paraId="5D2E724A" w14:textId="77777777"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59E363A3" w14:textId="77777777"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14:paraId="03724D7E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14:paraId="5313961E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14:paraId="3172D158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14:paraId="1CD5EBA5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55BDE824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717F86B1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445F176E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14:paraId="0F12BCCB" w14:textId="77777777"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14:paraId="5CE16573" w14:textId="77777777"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14:paraId="4DFDE556" w14:textId="77777777"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14:paraId="2053F80D" w14:textId="77777777" w:rsidR="001B77AA" w:rsidRDefault="001B77AA" w:rsidP="001B77AA">
      <w:pPr>
        <w:ind w:left="360"/>
        <w:rPr>
          <w:szCs w:val="28"/>
        </w:rPr>
      </w:pPr>
    </w:p>
    <w:p w14:paraId="505FBC1A" w14:textId="77777777"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03BFFFD3" w14:textId="77777777" w:rsidR="009A0575" w:rsidRDefault="009A0575" w:rsidP="009A0575"/>
    <w:p w14:paraId="77C5F4FA" w14:textId="77777777"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14:paraId="005404E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324D8D0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14:paraId="64272CD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4DF0154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0E6D81E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1A1DB32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006F453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47BE816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14:paraId="727832E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08449F7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4BA6FEE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608EFB1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6843097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6ECE832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038A4B1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6B701FD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4782CE4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002F685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35C3559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21B8006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2AF3BF7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6405087A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30231EC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4E60150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57128BF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7D919E29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566D73A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3FFA586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021D807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40D63F67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764B3B0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3F240F2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6566FB9A" w14:textId="77777777"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3ACF1D02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3698BC4E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1C7CC95D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7A45C422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618233E7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5B0DFFF4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43212814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6A0B6B71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5325C8A2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14:paraId="6B8ECEFB" w14:textId="77777777" w:rsidR="001B77AA" w:rsidRPr="00C21EC2" w:rsidRDefault="001B77AA" w:rsidP="001B77AA">
      <w:pPr>
        <w:rPr>
          <w:b/>
          <w:bCs/>
        </w:rPr>
      </w:pPr>
    </w:p>
    <w:p w14:paraId="60A7751C" w14:textId="77777777" w:rsidR="007B3DD4" w:rsidRDefault="007B3DD4" w:rsidP="00B0564C">
      <w:pPr>
        <w:pStyle w:val="a5"/>
      </w:pPr>
    </w:p>
    <w:p w14:paraId="13448BD1" w14:textId="77777777"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47B47FD5" w14:textId="77777777" w:rsidR="001B77AA" w:rsidRDefault="001B77AA" w:rsidP="001B77AA">
      <w:pPr>
        <w:ind w:firstLine="708"/>
        <w:rPr>
          <w:szCs w:val="28"/>
        </w:rPr>
      </w:pPr>
    </w:p>
    <w:p w14:paraId="7298DCF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14:paraId="6D62516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6FDA2D3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14:paraId="2006865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14:paraId="355D1B0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14:paraId="4FE226A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14:paraId="31F158A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14:paraId="12E2571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14:paraId="1034843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14:paraId="49C22BC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3915F7F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1AD6789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14:paraId="30DC81E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14:paraId="1671823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14:paraId="1B9C7FD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14:paraId="5DE2615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14:paraId="50BCD31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14:paraId="76FC0C8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3E7A513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14:paraId="758A9CA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14:paraId="61A854D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14:paraId="11CB68F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4387842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14:paraId="40E6C37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14:paraId="6FE63FA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14:paraId="6F2551D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14:paraId="05C2AE4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14:paraId="18A3D02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14:paraId="5F75282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14:paraId="2C92650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14:paraId="073A262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14:paraId="5CD6FFA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14:paraId="3F1BC20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26EF5E2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14:paraId="47FB2527" w14:textId="77777777"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14:paraId="08CD2B1A" w14:textId="77777777"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A"/>
    <w:rsid w:val="0005328A"/>
    <w:rsid w:val="0008186E"/>
    <w:rsid w:val="00084DED"/>
    <w:rsid w:val="000F1078"/>
    <w:rsid w:val="001627F7"/>
    <w:rsid w:val="00167699"/>
    <w:rsid w:val="0016777B"/>
    <w:rsid w:val="001B25C1"/>
    <w:rsid w:val="001B77AA"/>
    <w:rsid w:val="001D4B50"/>
    <w:rsid w:val="00204AFF"/>
    <w:rsid w:val="00217C20"/>
    <w:rsid w:val="00223BA8"/>
    <w:rsid w:val="0022481B"/>
    <w:rsid w:val="0027384C"/>
    <w:rsid w:val="002822EF"/>
    <w:rsid w:val="002A5FF4"/>
    <w:rsid w:val="002F75DA"/>
    <w:rsid w:val="003116D4"/>
    <w:rsid w:val="00334315"/>
    <w:rsid w:val="0036225E"/>
    <w:rsid w:val="0038585D"/>
    <w:rsid w:val="003D799E"/>
    <w:rsid w:val="003E491D"/>
    <w:rsid w:val="0046450B"/>
    <w:rsid w:val="004B2871"/>
    <w:rsid w:val="004C7E1D"/>
    <w:rsid w:val="00511BCA"/>
    <w:rsid w:val="005D5D98"/>
    <w:rsid w:val="005F10A6"/>
    <w:rsid w:val="005F4790"/>
    <w:rsid w:val="00604CB9"/>
    <w:rsid w:val="006128F9"/>
    <w:rsid w:val="0064792B"/>
    <w:rsid w:val="006623E6"/>
    <w:rsid w:val="006E65C9"/>
    <w:rsid w:val="006F6DF8"/>
    <w:rsid w:val="00744983"/>
    <w:rsid w:val="00747130"/>
    <w:rsid w:val="007947B7"/>
    <w:rsid w:val="007B3DD4"/>
    <w:rsid w:val="007B724E"/>
    <w:rsid w:val="007F5A12"/>
    <w:rsid w:val="007F718B"/>
    <w:rsid w:val="0087054C"/>
    <w:rsid w:val="008A14F1"/>
    <w:rsid w:val="008D1145"/>
    <w:rsid w:val="00902202"/>
    <w:rsid w:val="00912185"/>
    <w:rsid w:val="009618FA"/>
    <w:rsid w:val="00981925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B17FC"/>
    <w:rsid w:val="00BC60B3"/>
    <w:rsid w:val="00C17039"/>
    <w:rsid w:val="00C36ADD"/>
    <w:rsid w:val="00C60AA0"/>
    <w:rsid w:val="00C67E13"/>
    <w:rsid w:val="00D1651F"/>
    <w:rsid w:val="00D451FC"/>
    <w:rsid w:val="00D60F81"/>
    <w:rsid w:val="00DA7BBE"/>
    <w:rsid w:val="00DB1C36"/>
    <w:rsid w:val="00DC195D"/>
    <w:rsid w:val="00DE492B"/>
    <w:rsid w:val="00E26E42"/>
    <w:rsid w:val="00E7480C"/>
    <w:rsid w:val="00E80110"/>
    <w:rsid w:val="00EC22FA"/>
    <w:rsid w:val="00EE5339"/>
    <w:rsid w:val="00EF3427"/>
    <w:rsid w:val="00F54E66"/>
    <w:rsid w:val="00F96237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8D2F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2AEA-DF94-4553-B27F-58124D7B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26</cp:revision>
  <dcterms:created xsi:type="dcterms:W3CDTF">2019-01-29T16:14:00Z</dcterms:created>
  <dcterms:modified xsi:type="dcterms:W3CDTF">2021-12-13T08:57:00Z</dcterms:modified>
</cp:coreProperties>
</file>