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AC7372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D360D3" w:rsidRDefault="00D360D3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D360D3" w:rsidRDefault="00D360D3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D360D3" w:rsidRDefault="00D360D3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D360D3" w:rsidRDefault="00D360D3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D360D3" w:rsidRDefault="00D360D3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D360D3" w:rsidRPr="00D06837" w:rsidRDefault="00D360D3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2E5ECA" w:rsidRPr="00E33257" w:rsidRDefault="002E5ECA" w:rsidP="00AC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 высшего образования</w:t>
      </w:r>
    </w:p>
    <w:p w:rsidR="002E5ECA" w:rsidRDefault="002E5ECA" w:rsidP="002E5ECA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Cs/>
          <w:sz w:val="28"/>
          <w:szCs w:val="28"/>
        </w:rPr>
        <w:tab/>
      </w:r>
      <w:r>
        <w:rPr>
          <w:rFonts w:ascii="Times New Roman" w:eastAsia="HiddenHorzOCR" w:hAnsi="Times New Roman" w:cs="Times New Roman"/>
          <w:bCs/>
          <w:sz w:val="28"/>
          <w:szCs w:val="28"/>
        </w:rPr>
        <w:tab/>
      </w:r>
    </w:p>
    <w:p w:rsidR="002E5ECA" w:rsidRPr="00274286" w:rsidRDefault="002E5ECA" w:rsidP="002E5ECA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  <w:r w:rsidRPr="00274286">
        <w:rPr>
          <w:rFonts w:ascii="Times New Roman" w:eastAsia="HiddenHorzOCR" w:hAnsi="Times New Roman" w:cs="Times New Roman"/>
          <w:bCs/>
          <w:sz w:val="28"/>
          <w:szCs w:val="28"/>
        </w:rPr>
        <w:t>по специальности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3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.05.01 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Искусство концертного исполнительства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специалитета)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C1AA8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Специализация</w:t>
      </w:r>
      <w:r w:rsidR="0063065A">
        <w:rPr>
          <w:rFonts w:ascii="Times New Roman" w:eastAsia="HiddenHorzOCR" w:hAnsi="Times New Roman" w:cs="Times New Roman"/>
          <w:sz w:val="28"/>
          <w:szCs w:val="28"/>
        </w:rPr>
        <w:t xml:space="preserve"> №</w:t>
      </w:r>
      <w:r w:rsidR="0091246E">
        <w:rPr>
          <w:rFonts w:ascii="Times New Roman" w:eastAsia="HiddenHorzOCR" w:hAnsi="Times New Roman" w:cs="Times New Roman"/>
          <w:sz w:val="28"/>
          <w:szCs w:val="28"/>
        </w:rPr>
        <w:t>5</w:t>
      </w:r>
    </w:p>
    <w:p w:rsidR="004C1AA8" w:rsidRPr="00E33257" w:rsidRDefault="00AD0FD5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Концертные </w:t>
      </w:r>
      <w:r w:rsidR="0091246E">
        <w:rPr>
          <w:rFonts w:ascii="Times New Roman" w:eastAsia="HiddenHorzOCR" w:hAnsi="Times New Roman" w:cs="Times New Roman"/>
          <w:sz w:val="28"/>
          <w:szCs w:val="28"/>
        </w:rPr>
        <w:t>народные</w:t>
      </w:r>
      <w:r w:rsidR="002943DC">
        <w:rPr>
          <w:rFonts w:ascii="Times New Roman" w:eastAsia="HiddenHorzOCR" w:hAnsi="Times New Roman" w:cs="Times New Roman"/>
          <w:sz w:val="28"/>
          <w:szCs w:val="28"/>
        </w:rPr>
        <w:t xml:space="preserve"> инструменты (по видам инструментов: </w:t>
      </w:r>
      <w:r w:rsidR="0091246E">
        <w:rPr>
          <w:rFonts w:ascii="Times New Roman" w:eastAsia="HiddenHorzOCR" w:hAnsi="Times New Roman" w:cs="Times New Roman"/>
          <w:sz w:val="28"/>
          <w:szCs w:val="28"/>
        </w:rPr>
        <w:t>баян, аккордеон, домра, балалайка, гусли, гитара)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66F0B" w:rsidRPr="00466F0B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Квалификация: Концертный исполнитель. Преподаватель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B364AF" w:rsidRDefault="006A1538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58520181"/>
        <w:docPartObj>
          <w:docPartGallery w:val="Table of Contents"/>
          <w:docPartUnique/>
        </w:docPartObj>
      </w:sdtPr>
      <w:sdtEndPr/>
      <w:sdtContent>
        <w:p w:rsidR="00B364AF" w:rsidRDefault="00B364AF">
          <w:pPr>
            <w:pStyle w:val="afd"/>
          </w:pPr>
          <w:r>
            <w:t>Оглавление</w:t>
          </w:r>
        </w:p>
        <w:p w:rsidR="00B364AF" w:rsidRDefault="00B364AF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652086" w:history="1">
            <w:r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_Toc530652086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87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специалитета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_Toc530652087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3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88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_Toc530652088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3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89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_Toc530652089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3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90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_Toc530652090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3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91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_Toc530652091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3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92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_Toc530652092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4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93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_Toc530652093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4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94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_Toc530652094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7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95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_Toc530652095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7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96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_Toc530652096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8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97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_Toc530652097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9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D360D3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652098" w:history="1">
            <w:r w:rsidR="00B364AF" w:rsidRPr="00BC30BF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B364AF">
              <w:rPr>
                <w:noProof/>
                <w:webHidden/>
              </w:rPr>
              <w:tab/>
            </w:r>
            <w:r w:rsidR="00B364AF">
              <w:rPr>
                <w:noProof/>
                <w:webHidden/>
              </w:rPr>
              <w:fldChar w:fldCharType="begin"/>
            </w:r>
            <w:r w:rsidR="00B364AF">
              <w:rPr>
                <w:noProof/>
                <w:webHidden/>
              </w:rPr>
              <w:instrText xml:space="preserve"> PAGEREF _Toc530652098 \h </w:instrText>
            </w:r>
            <w:r w:rsidR="00B364AF">
              <w:rPr>
                <w:noProof/>
                <w:webHidden/>
              </w:rPr>
            </w:r>
            <w:r w:rsidR="00B364AF">
              <w:rPr>
                <w:noProof/>
                <w:webHidden/>
              </w:rPr>
              <w:fldChar w:fldCharType="separate"/>
            </w:r>
            <w:r w:rsidR="00A20DA3">
              <w:rPr>
                <w:noProof/>
                <w:webHidden/>
              </w:rPr>
              <w:t>9</w:t>
            </w:r>
            <w:r w:rsidR="00B364AF">
              <w:rPr>
                <w:noProof/>
                <w:webHidden/>
              </w:rPr>
              <w:fldChar w:fldCharType="end"/>
            </w:r>
          </w:hyperlink>
        </w:p>
        <w:p w:rsidR="00B364AF" w:rsidRDefault="00B364AF">
          <w:r>
            <w:rPr>
              <w:b/>
              <w:bCs/>
            </w:rPr>
            <w:fldChar w:fldCharType="end"/>
          </w:r>
        </w:p>
      </w:sdtContent>
    </w:sdt>
    <w:p w:rsidR="00E33257" w:rsidRDefault="00E33257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10260D" w:rsidRDefault="004C1AA8" w:rsidP="0010260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" w:name="_Toc530652086"/>
      <w:r w:rsidRPr="0010260D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специалитета,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специальности 53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1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специализация </w:t>
      </w:r>
      <w:r w:rsidR="00AD0FD5">
        <w:rPr>
          <w:rFonts w:ascii="Times New Roman" w:eastAsia="HiddenHorzOCR" w:hAnsi="Times New Roman" w:cs="Times New Roman"/>
          <w:sz w:val="24"/>
          <w:szCs w:val="28"/>
        </w:rPr>
        <w:t xml:space="preserve">Концертные </w:t>
      </w:r>
      <w:r w:rsidR="0091246E">
        <w:rPr>
          <w:rFonts w:ascii="Times New Roman" w:eastAsia="HiddenHorzOCR" w:hAnsi="Times New Roman" w:cs="Times New Roman"/>
          <w:sz w:val="24"/>
          <w:szCs w:val="28"/>
        </w:rPr>
        <w:t>народные</w:t>
      </w:r>
      <w:r w:rsidR="00AD0FD5">
        <w:rPr>
          <w:rFonts w:ascii="Times New Roman" w:eastAsia="HiddenHorzOCR" w:hAnsi="Times New Roman" w:cs="Times New Roman"/>
          <w:sz w:val="24"/>
          <w:szCs w:val="28"/>
        </w:rPr>
        <w:t xml:space="preserve"> инструменты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соответствующей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Нормативные документы, составляющие основу формирования ООП по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специальности 5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.05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63065A">
        <w:rPr>
          <w:rFonts w:ascii="Times New Roman" w:hAnsi="Times New Roman" w:cs="Times New Roman"/>
          <w:sz w:val="24"/>
          <w:szCs w:val="28"/>
        </w:rPr>
        <w:t>специальности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466F0B">
        <w:rPr>
          <w:rFonts w:ascii="Times New Roman" w:hAnsi="Times New Roman" w:cs="Times New Roman"/>
          <w:sz w:val="24"/>
          <w:szCs w:val="28"/>
        </w:rPr>
        <w:t>3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63065A">
        <w:rPr>
          <w:rFonts w:ascii="Times New Roman" w:hAnsi="Times New Roman" w:cs="Times New Roman"/>
          <w:sz w:val="24"/>
          <w:szCs w:val="28"/>
        </w:rPr>
        <w:t>5</w:t>
      </w:r>
      <w:r w:rsidR="00CC7F31">
        <w:rPr>
          <w:rFonts w:ascii="Times New Roman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hAnsi="Times New Roman" w:cs="Times New Roman"/>
          <w:sz w:val="24"/>
          <w:szCs w:val="28"/>
        </w:rPr>
        <w:t>Искусство концертного исполнительства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от </w:t>
      </w:r>
      <w:r w:rsidR="00466F0B">
        <w:rPr>
          <w:rFonts w:ascii="Times New Roman" w:hAnsi="Times New Roman" w:cs="Times New Roman"/>
          <w:sz w:val="24"/>
          <w:szCs w:val="28"/>
        </w:rPr>
        <w:t>12</w:t>
      </w:r>
      <w:r w:rsidR="0063065A">
        <w:rPr>
          <w:rFonts w:ascii="Times New Roman" w:hAnsi="Times New Roman" w:cs="Times New Roman"/>
          <w:sz w:val="24"/>
          <w:szCs w:val="28"/>
        </w:rPr>
        <w:t>.09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CC7F31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1</w:t>
      </w:r>
      <w:r w:rsidR="00466F0B">
        <w:rPr>
          <w:rFonts w:ascii="Times New Roman" w:hAnsi="Times New Roman" w:cs="Times New Roman"/>
          <w:sz w:val="24"/>
          <w:szCs w:val="28"/>
        </w:rPr>
        <w:t>69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10260D" w:rsidRDefault="004C1AA8" w:rsidP="0010260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652087"/>
      <w:r w:rsidRPr="0010260D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10260D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63065A" w:rsidRPr="0010260D">
        <w:rPr>
          <w:rFonts w:ascii="Times New Roman" w:eastAsia="HiddenHorzOCR" w:hAnsi="Times New Roman" w:cs="Times New Roman"/>
          <w:color w:val="auto"/>
          <w:sz w:val="24"/>
        </w:rPr>
        <w:t>специалитета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63065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Специализация №</w:t>
      </w:r>
      <w:r w:rsidR="0091246E">
        <w:rPr>
          <w:rFonts w:ascii="Times New Roman" w:eastAsia="HiddenHorzOCR" w:hAnsi="Times New Roman" w:cs="Times New Roman"/>
          <w:sz w:val="24"/>
          <w:szCs w:val="28"/>
        </w:rPr>
        <w:t>5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ОП  - </w:t>
      </w:r>
      <w:r w:rsidR="00AD0FD5">
        <w:rPr>
          <w:rFonts w:ascii="Times New Roman" w:eastAsia="HiddenHorzOCR" w:hAnsi="Times New Roman" w:cs="Times New Roman"/>
          <w:sz w:val="24"/>
          <w:szCs w:val="28"/>
        </w:rPr>
        <w:t xml:space="preserve">Концертные </w:t>
      </w:r>
      <w:r w:rsidR="0091246E">
        <w:rPr>
          <w:rFonts w:ascii="Times New Roman" w:eastAsia="HiddenHorzOCR" w:hAnsi="Times New Roman" w:cs="Times New Roman"/>
          <w:sz w:val="24"/>
          <w:szCs w:val="28"/>
        </w:rPr>
        <w:t>народные</w:t>
      </w:r>
      <w:r w:rsidR="002943DC">
        <w:rPr>
          <w:rFonts w:ascii="Times New Roman" w:eastAsia="HiddenHorzOCR" w:hAnsi="Times New Roman" w:cs="Times New Roman"/>
          <w:sz w:val="24"/>
          <w:szCs w:val="28"/>
        </w:rPr>
        <w:t xml:space="preserve"> инструменты (по видам инструментов: </w:t>
      </w:r>
      <w:r w:rsidR="0091246E">
        <w:rPr>
          <w:rFonts w:ascii="Times New Roman" w:eastAsia="HiddenHorzOCR" w:hAnsi="Times New Roman" w:cs="Times New Roman"/>
          <w:sz w:val="24"/>
          <w:szCs w:val="28"/>
        </w:rPr>
        <w:t>баян, аккордеон, домра, балалайка, гусли, гитара)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очной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300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5 лет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10260D" w:rsidRDefault="004C1AA8" w:rsidP="0010260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652088"/>
      <w:r w:rsidRPr="0010260D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4C1AA8" w:rsidRPr="00B364AF" w:rsidRDefault="004C1AA8" w:rsidP="00B364A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652089"/>
      <w:r w:rsidRPr="00B364AF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B364AF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676CC0" w:rsidRDefault="0051576A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Область профессиональной деятельности выпускников, освоивших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включает:</w:t>
      </w:r>
    </w:p>
    <w:p w:rsidR="0051576A" w:rsidRDefault="00CE4278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 в разнообразных составах (соло, в ансамбле, соло с оркестром, соло в оркестре) на различных сценических площадках;</w:t>
      </w:r>
    </w:p>
    <w:p w:rsidR="00CE4278" w:rsidRPr="0051576A" w:rsidRDefault="00CE4278" w:rsidP="00B463A2">
      <w:pPr>
        <w:pStyle w:val="ac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Музыкально-педагогический и учебно-воспитательный процессы в организациях, осуществляющих образовательную деятельность;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B364AF" w:rsidRDefault="004C1AA8" w:rsidP="00B364A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652090"/>
      <w:r w:rsidRPr="00B364AF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4C1AA8" w:rsidRDefault="0051576A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Объектами профессиональной деятельности выпускников, освоивших программу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243B66">
        <w:rPr>
          <w:rFonts w:ascii="Times New Roman" w:eastAsia="HiddenHorzOCR" w:hAnsi="Times New Roman" w:cs="Times New Roman"/>
          <w:sz w:val="24"/>
          <w:szCs w:val="28"/>
        </w:rPr>
        <w:t xml:space="preserve">, являются </w:t>
      </w:r>
      <w:r w:rsidR="00CE4278">
        <w:rPr>
          <w:rFonts w:ascii="Times New Roman" w:eastAsia="HiddenHorzOCR" w:hAnsi="Times New Roman" w:cs="Times New Roman"/>
          <w:sz w:val="24"/>
          <w:szCs w:val="28"/>
        </w:rPr>
        <w:t xml:space="preserve">музыкальное произведение в различных формах его существования; музыкальные инструменты; творческие коллективы; </w:t>
      </w:r>
      <w:proofErr w:type="spellStart"/>
      <w:r w:rsidR="00CE4278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="00CE4278">
        <w:rPr>
          <w:rFonts w:ascii="Times New Roman" w:eastAsia="HiddenHorzOCR" w:hAnsi="Times New Roman" w:cs="Times New Roman"/>
          <w:sz w:val="24"/>
          <w:szCs w:val="28"/>
        </w:rPr>
        <w:t xml:space="preserve"> аудитория концертных залов, учреждений культуры; организации, осуществляющие образовательную деятельность и их обучающиеся; учреждения культуры, средства массовой информации.</w:t>
      </w:r>
    </w:p>
    <w:p w:rsidR="004C1AA8" w:rsidRPr="00B364AF" w:rsidRDefault="004C1AA8" w:rsidP="00B364A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652091"/>
      <w:r w:rsidRPr="00B364AF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762A87" w:rsidRPr="00762A87" w:rsidRDefault="00762A87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Виды профессиональной деятельности, к которым готовятся выпускники, освоившие программу </w:t>
      </w:r>
      <w:r w:rsidR="0063065A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: </w:t>
      </w:r>
      <w:r w:rsidR="00CE4278">
        <w:rPr>
          <w:rFonts w:ascii="Times New Roman" w:eastAsia="HiddenHorzOCR" w:hAnsi="Times New Roman" w:cs="Times New Roman"/>
          <w:iCs/>
          <w:sz w:val="24"/>
          <w:szCs w:val="28"/>
        </w:rPr>
        <w:t>концертно-исполнительская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основн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ой вид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, </w:t>
      </w:r>
      <w:r w:rsidR="00CE4278">
        <w:rPr>
          <w:rFonts w:ascii="Times New Roman" w:eastAsia="HiddenHorzOCR" w:hAnsi="Times New Roman" w:cs="Times New Roman"/>
          <w:iCs/>
          <w:sz w:val="24"/>
          <w:szCs w:val="28"/>
        </w:rPr>
        <w:t>художественно-просветительская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 xml:space="preserve"> и педагогическая</w:t>
      </w:r>
      <w:r w:rsidR="00D522CF" w:rsidRPr="000C226D">
        <w:rPr>
          <w:rFonts w:ascii="Times New Roman" w:eastAsia="HiddenHorzOCR" w:hAnsi="Times New Roman" w:cs="Times New Roman"/>
          <w:iCs/>
          <w:sz w:val="24"/>
          <w:szCs w:val="28"/>
        </w:rPr>
        <w:t xml:space="preserve"> – дополнительный.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B364AF" w:rsidRDefault="004C1AA8" w:rsidP="00B364AF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652092"/>
      <w:r w:rsidRPr="00B364AF">
        <w:rPr>
          <w:rFonts w:ascii="Times New Roman" w:eastAsia="HiddenHorzOCR" w:hAnsi="Times New Roman" w:cs="Times New Roman"/>
          <w:color w:val="auto"/>
          <w:sz w:val="24"/>
        </w:rPr>
        <w:lastRenderedPageBreak/>
        <w:t>3.4. Задачи профессио</w:t>
      </w:r>
      <w:r w:rsidR="00B364AF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D522CF" w:rsidRDefault="00D522CF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Выпускник, освоивший программу </w:t>
      </w:r>
      <w:r w:rsidR="00295CB2">
        <w:rPr>
          <w:rFonts w:ascii="Times New Roman" w:eastAsia="HiddenHorzOCR" w:hAnsi="Times New Roman" w:cs="Times New Roman"/>
          <w:i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, должен быть готов решать следующие профессиональные задачи:</w:t>
      </w:r>
    </w:p>
    <w:p w:rsidR="00D522CF" w:rsidRPr="000C226D" w:rsidRDefault="00CE4278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концертно-исполнительская деятельность</w:t>
      </w:r>
      <w:r w:rsidR="00295CB2">
        <w:rPr>
          <w:rFonts w:ascii="Times New Roman" w:eastAsia="HiddenHorzOCR" w:hAnsi="Times New Roman" w:cs="Times New Roman"/>
          <w:b/>
          <w:iCs/>
          <w:sz w:val="24"/>
          <w:szCs w:val="28"/>
        </w:rPr>
        <w:t>:</w:t>
      </w:r>
    </w:p>
    <w:p w:rsidR="00295CB2" w:rsidRDefault="00CE4278" w:rsidP="00295CB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концертное исполнение музыкальных произведений;</w:t>
      </w:r>
    </w:p>
    <w:p w:rsidR="00CE4278" w:rsidRPr="00CE4278" w:rsidRDefault="00CE4278" w:rsidP="00CE4278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воспитание художественного вкуса, умения воспринимать музыку как вид искусства;</w:t>
      </w:r>
    </w:p>
    <w:p w:rsidR="00382982" w:rsidRPr="000C226D" w:rsidRDefault="00CE4278" w:rsidP="00382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художественно-просветительская </w:t>
      </w:r>
      <w:r w:rsidR="00382982"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>деятельность:</w:t>
      </w:r>
    </w:p>
    <w:p w:rsidR="00382982" w:rsidRDefault="00CE4278" w:rsidP="000C226D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распространение и популяризация знаний о музыкальном искусстве, а также смежных областях искусства, истории мировой музыкальной культуры;</w:t>
      </w:r>
    </w:p>
    <w:p w:rsidR="00764848" w:rsidRPr="000C226D" w:rsidRDefault="008B48BF" w:rsidP="00B463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</w:t>
      </w:r>
      <w:r w:rsidR="00764848" w:rsidRPr="000C226D">
        <w:rPr>
          <w:rFonts w:ascii="Times New Roman" w:eastAsia="HiddenHorzOCR" w:hAnsi="Times New Roman" w:cs="Times New Roman"/>
          <w:b/>
          <w:iCs/>
          <w:sz w:val="24"/>
          <w:szCs w:val="28"/>
        </w:rPr>
        <w:t xml:space="preserve"> деятельность:</w:t>
      </w:r>
    </w:p>
    <w:p w:rsidR="003A68F4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воспитание музыканта-исполнителя с высокоразвитым художественным и интеллектуальным потенциалом;</w:t>
      </w:r>
    </w:p>
    <w:p w:rsidR="00CE4278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обучение техническому мастерству игры на инструменте;</w:t>
      </w:r>
    </w:p>
    <w:p w:rsidR="00CE4278" w:rsidRDefault="00CE4278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подготовка обучающегося к самостоя</w:t>
      </w:r>
      <w:r w:rsidR="009A54AC">
        <w:rPr>
          <w:rFonts w:ascii="Times New Roman" w:eastAsia="HiddenHorzOCR" w:hAnsi="Times New Roman" w:cs="Times New Roman"/>
          <w:iCs/>
          <w:sz w:val="24"/>
          <w:szCs w:val="28"/>
        </w:rPr>
        <w:t>тельной деятельности в области исполнительства и музыкальной педагогики;</w:t>
      </w:r>
    </w:p>
    <w:p w:rsidR="009A54AC" w:rsidRDefault="009A54AC" w:rsidP="00B463A2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выполнение методической работы, осуществление контрольных мероприятий, направленных на оценку результатов художественно-педагогического процесса;</w:t>
      </w:r>
    </w:p>
    <w:p w:rsidR="009A54AC" w:rsidRDefault="009A54AC" w:rsidP="009A5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в соответствии со специализацией:</w:t>
      </w:r>
    </w:p>
    <w:p w:rsidR="009A54AC" w:rsidRDefault="002943DC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демонстрирование интонационной чистоты</w:t>
      </w:r>
      <w:r w:rsidR="00A83D3A">
        <w:rPr>
          <w:rFonts w:ascii="Times New Roman" w:eastAsia="HiddenHorzOCR" w:hAnsi="Times New Roman" w:cs="Times New Roman"/>
          <w:iCs/>
          <w:sz w:val="24"/>
          <w:szCs w:val="28"/>
        </w:rPr>
        <w:t>, свободно</w:t>
      </w:r>
      <w:r w:rsidR="0091246E">
        <w:rPr>
          <w:rFonts w:ascii="Times New Roman" w:eastAsia="HiddenHorzOCR" w:hAnsi="Times New Roman" w:cs="Times New Roman"/>
          <w:iCs/>
          <w:sz w:val="24"/>
          <w:szCs w:val="28"/>
        </w:rPr>
        <w:t>го</w:t>
      </w:r>
      <w:r w:rsidR="00A83D3A">
        <w:rPr>
          <w:rFonts w:ascii="Times New Roman" w:eastAsia="HiddenHorzOCR" w:hAnsi="Times New Roman" w:cs="Times New Roman"/>
          <w:iCs/>
          <w:sz w:val="24"/>
          <w:szCs w:val="28"/>
        </w:rPr>
        <w:t xml:space="preserve"> владени</w:t>
      </w:r>
      <w:r w:rsidR="0091246E">
        <w:rPr>
          <w:rFonts w:ascii="Times New Roman" w:eastAsia="HiddenHorzOCR" w:hAnsi="Times New Roman" w:cs="Times New Roman"/>
          <w:iCs/>
          <w:sz w:val="24"/>
          <w:szCs w:val="28"/>
        </w:rPr>
        <w:t>я</w:t>
      </w:r>
      <w:r w:rsidR="00A83D3A">
        <w:rPr>
          <w:rFonts w:ascii="Times New Roman" w:eastAsia="HiddenHorzOCR" w:hAnsi="Times New Roman" w:cs="Times New Roman"/>
          <w:iCs/>
          <w:sz w:val="24"/>
          <w:szCs w:val="28"/>
        </w:rPr>
        <w:t xml:space="preserve"> игровым аппаратом </w:t>
      </w:r>
      <w:r w:rsidR="0091246E">
        <w:rPr>
          <w:rFonts w:ascii="Times New Roman" w:eastAsia="HiddenHorzOCR" w:hAnsi="Times New Roman" w:cs="Times New Roman"/>
          <w:iCs/>
          <w:sz w:val="24"/>
          <w:szCs w:val="28"/>
        </w:rPr>
        <w:t xml:space="preserve">и разнообразными техническими приемами </w:t>
      </w:r>
      <w:proofErr w:type="spellStart"/>
      <w:r w:rsidR="0091246E">
        <w:rPr>
          <w:rFonts w:ascii="Times New Roman" w:eastAsia="HiddenHorzOCR" w:hAnsi="Times New Roman" w:cs="Times New Roman"/>
          <w:iCs/>
          <w:sz w:val="24"/>
          <w:szCs w:val="28"/>
        </w:rPr>
        <w:t>звукоизвлечения</w:t>
      </w:r>
      <w:proofErr w:type="spellEnd"/>
      <w:r w:rsidR="00A83D3A">
        <w:rPr>
          <w:rFonts w:ascii="Times New Roman" w:eastAsia="HiddenHorzOCR" w:hAnsi="Times New Roman" w:cs="Times New Roman"/>
          <w:iCs/>
          <w:sz w:val="24"/>
          <w:szCs w:val="28"/>
        </w:rPr>
        <w:t>;</w:t>
      </w:r>
    </w:p>
    <w:p w:rsidR="00A83D3A" w:rsidRDefault="00A83D3A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демонстрирование навыков владения игрой на фортепиано;</w:t>
      </w:r>
    </w:p>
    <w:p w:rsidR="0091246E" w:rsidRDefault="0091246E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создание переложений музыкальных произведений для своего инструмента;</w:t>
      </w:r>
    </w:p>
    <w:p w:rsidR="00A83D3A" w:rsidRPr="009A54AC" w:rsidRDefault="0091246E" w:rsidP="009A54A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>демонстрирование сво</w:t>
      </w:r>
      <w:r w:rsidR="00C825A7">
        <w:rPr>
          <w:rFonts w:ascii="Times New Roman" w:eastAsia="HiddenHorzOCR" w:hAnsi="Times New Roman" w:cs="Times New Roman"/>
          <w:iCs/>
          <w:sz w:val="24"/>
          <w:szCs w:val="28"/>
        </w:rPr>
        <w:t>бодного чтения с листа партий различной сложности</w:t>
      </w:r>
      <w:r w:rsidR="00A83D3A">
        <w:rPr>
          <w:rFonts w:ascii="Times New Roman" w:eastAsia="HiddenHorzOCR" w:hAnsi="Times New Roman" w:cs="Times New Roman"/>
          <w:iCs/>
          <w:sz w:val="24"/>
          <w:szCs w:val="28"/>
        </w:rPr>
        <w:t>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10260D" w:rsidRDefault="004C1AA8" w:rsidP="0010260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652093"/>
      <w:r w:rsidRPr="0010260D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462974" w:rsidRPr="0010260D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10260D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3A68F4" w:rsidRPr="003A68F4" w:rsidRDefault="003A68F4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b/>
          <w:sz w:val="24"/>
          <w:szCs w:val="28"/>
        </w:rPr>
        <w:t>общекультурными:</w:t>
      </w:r>
    </w:p>
    <w:p w:rsidR="00AE1870" w:rsidRDefault="003A68F4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="00DC431C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(ОК-2);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(ОК-3);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(ОК-4);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самоорганизации и самообразованию (ОК-5);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(ОК-6);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(ОК-7);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к коммуникации в устной и письменной формах на русском и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lastRenderedPageBreak/>
        <w:t>иностранном языках для решения задач межличностного и межкультурного взаимодействия (ОК-8);</w:t>
      </w:r>
    </w:p>
    <w:p w:rsidR="00DC431C" w:rsidRDefault="00DC431C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A73A65" w:rsidRPr="00AE1870" w:rsidRDefault="00A73A65" w:rsidP="00DC431C">
      <w:pPr>
        <w:widowControl w:val="0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(ОК-10);</w:t>
      </w:r>
    </w:p>
    <w:p w:rsidR="009A779A" w:rsidRPr="009A779A" w:rsidRDefault="009A779A" w:rsidP="00B463A2">
      <w:pPr>
        <w:pStyle w:val="21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9A779A">
        <w:rPr>
          <w:rStyle w:val="0pt"/>
          <w:rFonts w:eastAsiaTheme="minorEastAsia"/>
          <w:sz w:val="24"/>
        </w:rPr>
        <w:t>общепрофессиональными компетенциями:</w:t>
      </w:r>
    </w:p>
    <w:p w:rsidR="00D87343" w:rsidRDefault="00C91949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способностью </w:t>
      </w:r>
      <w:r w:rsidR="009631D5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 (ОПК-1);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к пониманию эстетической основы искусства (ОПК-2);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(ОПК-3);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осуществлять комплексный анализ музыкального произведения по нотному тексту (ОПК-5);</w:t>
      </w:r>
    </w:p>
    <w:p w:rsidR="009631D5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0C422B" w:rsidRDefault="009631D5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="000C422B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(ОПК-7);</w:t>
      </w:r>
    </w:p>
    <w:p w:rsidR="009631D5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понимать принципы работы над музыкальным произведением и задачи репетиционного процесса (ОПК-8);</w:t>
      </w:r>
      <w:r w:rsidR="009631D5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ориентироваться в композиторских стилях, жанрах и формах в историческом аспекте (ОПК-9);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ориентироваться в специальной литературе как по профилю подготовки,  так и в смежных областях искусства (ОПК-10);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распознавать и анализировать музыкальную форму на слух или по нотному тексту (ОПК-11);</w:t>
      </w:r>
    </w:p>
    <w:p w:rsidR="000C422B" w:rsidRDefault="000C422B" w:rsidP="009631D5">
      <w:pPr>
        <w:widowControl w:val="0"/>
        <w:spacing w:after="0" w:line="240" w:lineRule="auto"/>
        <w:ind w:left="40" w:right="6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 (ОПК-12);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F24607">
        <w:rPr>
          <w:rStyle w:val="0pt"/>
          <w:rFonts w:eastAsiaTheme="minorEastAsia"/>
          <w:sz w:val="24"/>
          <w:szCs w:val="24"/>
        </w:rPr>
        <w:t>п</w:t>
      </w:r>
      <w:r w:rsidR="000C422B">
        <w:rPr>
          <w:rStyle w:val="0pt"/>
          <w:rFonts w:eastAsiaTheme="minorEastAsia"/>
          <w:sz w:val="24"/>
          <w:szCs w:val="24"/>
        </w:rPr>
        <w:t>рофессиональными компетенциями:</w:t>
      </w:r>
    </w:p>
    <w:p w:rsidR="009A779A" w:rsidRPr="00F24607" w:rsidRDefault="009A779A" w:rsidP="00B463A2">
      <w:pPr>
        <w:pStyle w:val="21"/>
        <w:shd w:val="clear" w:color="auto" w:fill="auto"/>
        <w:tabs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F24607">
        <w:rPr>
          <w:sz w:val="24"/>
          <w:szCs w:val="24"/>
        </w:rPr>
        <w:t xml:space="preserve">соответствующими видам профессиональной деятельности, на которые ориентирована программа </w:t>
      </w:r>
      <w:r w:rsidR="00D22BD4">
        <w:rPr>
          <w:sz w:val="24"/>
          <w:szCs w:val="24"/>
        </w:rPr>
        <w:t>специалитета</w:t>
      </w:r>
      <w:r w:rsidRPr="00F24607">
        <w:rPr>
          <w:sz w:val="24"/>
          <w:szCs w:val="24"/>
        </w:rPr>
        <w:t>:</w:t>
      </w:r>
    </w:p>
    <w:p w:rsidR="009A779A" w:rsidRPr="00B364AF" w:rsidRDefault="000C422B" w:rsidP="00B364AF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bookmarkStart w:id="9" w:name="bookmark9"/>
      <w:r w:rsidRPr="00B364AF">
        <w:rPr>
          <w:rFonts w:ascii="Times New Roman" w:hAnsi="Times New Roman" w:cs="Times New Roman"/>
          <w:b/>
          <w:sz w:val="24"/>
        </w:rPr>
        <w:t>концертно-исполнительская деятельность</w:t>
      </w:r>
      <w:r w:rsidR="009A779A" w:rsidRPr="00B364AF">
        <w:rPr>
          <w:rFonts w:ascii="Times New Roman" w:hAnsi="Times New Roman" w:cs="Times New Roman"/>
          <w:b/>
          <w:sz w:val="24"/>
        </w:rPr>
        <w:t>:</w:t>
      </w:r>
      <w:bookmarkEnd w:id="9"/>
    </w:p>
    <w:p w:rsidR="00992339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 (ПК-1);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свободное чтение с листа партий различной сложности (ПК-2);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 (ПК-3);</w:t>
      </w:r>
    </w:p>
    <w:p w:rsidR="000C422B" w:rsidRDefault="000C422B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знание компо</w:t>
      </w:r>
      <w:r w:rsidR="009E4617">
        <w:rPr>
          <w:sz w:val="24"/>
          <w:szCs w:val="24"/>
        </w:rPr>
        <w:t>з</w:t>
      </w:r>
      <w:r>
        <w:rPr>
          <w:sz w:val="24"/>
          <w:szCs w:val="24"/>
        </w:rPr>
        <w:t>иторских стилей и умение применять полученные знания в процессе создания исполнительской интерпретации</w:t>
      </w:r>
      <w:r w:rsidR="009E4617">
        <w:rPr>
          <w:sz w:val="24"/>
          <w:szCs w:val="24"/>
        </w:rPr>
        <w:t xml:space="preserve"> (ПК-4);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демонстрировать умение исполнять музыкальное произведение ярко, артистично, виртуозно (ПК-5);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 (ПК-6);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к сотворчеству в исполнении музыкального произведения в ансамбле (ПК-7);</w:t>
      </w:r>
    </w:p>
    <w:p w:rsidR="009E4617" w:rsidRDefault="009E4617" w:rsidP="00B463A2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самостоятельно работать над концертным репертуаром (ПК-8);</w:t>
      </w:r>
    </w:p>
    <w:p w:rsidR="0091760E" w:rsidRPr="00992339" w:rsidRDefault="00992339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2339">
        <w:rPr>
          <w:rFonts w:ascii="Times New Roman" w:hAnsi="Times New Roman" w:cs="Times New Roman"/>
          <w:b/>
          <w:sz w:val="24"/>
        </w:rPr>
        <w:t>педагогическая деятельность:</w:t>
      </w:r>
    </w:p>
    <w:p w:rsidR="001E28B0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способностью понимать цели и задачи педагогического процесса и основных принципов музыкальной педагогики (ПК-9);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на практике различные методики преподавания игры на музыкальном инструменте (ПК-10);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обучать применению знаний композиторских стилей в процессе создания исполнительской интерпретации (ПК-11);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 (ПК-12);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(ПК-13);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применять на практике умение планировать и строить урок, концентрировать внимание обучающегося на поставленных задачах (ПК-14);</w:t>
      </w:r>
    </w:p>
    <w:p w:rsidR="009E4617" w:rsidRDefault="009E4617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критически оценивать и осмысливать результаты собственной педагогической деятельности (ПК-15).</w:t>
      </w:r>
    </w:p>
    <w:p w:rsidR="0091760E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профессионально-специализированными компетенциями:</w:t>
      </w:r>
    </w:p>
    <w:p w:rsidR="00755FCA" w:rsidRDefault="005D17FF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способностью демонстрировать интонационную чистоту, </w:t>
      </w:r>
      <w:r w:rsidR="00A83D3A">
        <w:rPr>
          <w:rFonts w:ascii="Times New Roman" w:hAnsi="Times New Roman" w:cs="Times New Roman"/>
          <w:sz w:val="24"/>
        </w:rPr>
        <w:t xml:space="preserve">свободное владение игровым </w:t>
      </w:r>
      <w:r w:rsidR="001B0276">
        <w:rPr>
          <w:rFonts w:ascii="Times New Roman" w:hAnsi="Times New Roman" w:cs="Times New Roman"/>
          <w:sz w:val="24"/>
        </w:rPr>
        <w:t xml:space="preserve">и разнообразными техническими приемами </w:t>
      </w:r>
      <w:proofErr w:type="spellStart"/>
      <w:r w:rsidR="001B0276">
        <w:rPr>
          <w:rFonts w:ascii="Times New Roman" w:hAnsi="Times New Roman" w:cs="Times New Roman"/>
          <w:sz w:val="24"/>
        </w:rPr>
        <w:t>звукоизвлечения</w:t>
      </w:r>
      <w:proofErr w:type="spellEnd"/>
      <w:r w:rsidR="001B02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(ПСК-</w:t>
      </w:r>
      <w:r w:rsidR="001B027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.1);</w:t>
      </w:r>
    </w:p>
    <w:p w:rsidR="005D17FF" w:rsidRDefault="005D17FF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демонстрировать навыки владения игрой на фортепиано (ПСК-</w:t>
      </w:r>
      <w:r w:rsidR="001B027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.2);</w:t>
      </w:r>
    </w:p>
    <w:p w:rsidR="001B0276" w:rsidRDefault="001B0276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способностью создавать переложения музыкальных произведений для своего инструмента (ПСК-5.3);</w:t>
      </w:r>
    </w:p>
    <w:p w:rsidR="005D17FF" w:rsidRDefault="005D17FF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способностью демонстрировать </w:t>
      </w:r>
      <w:r w:rsidR="00714892">
        <w:rPr>
          <w:rFonts w:ascii="Times New Roman" w:hAnsi="Times New Roman" w:cs="Times New Roman"/>
          <w:sz w:val="24"/>
        </w:rPr>
        <w:t xml:space="preserve">свободное чтение с листа партий различной сложности </w:t>
      </w:r>
      <w:r>
        <w:rPr>
          <w:rFonts w:ascii="Times New Roman" w:hAnsi="Times New Roman" w:cs="Times New Roman"/>
          <w:sz w:val="24"/>
        </w:rPr>
        <w:t>(ПСК-</w:t>
      </w:r>
      <w:r w:rsidR="00714892">
        <w:rPr>
          <w:rFonts w:ascii="Times New Roman" w:hAnsi="Times New Roman" w:cs="Times New Roman"/>
          <w:sz w:val="24"/>
        </w:rPr>
        <w:t>5.4</w:t>
      </w:r>
      <w:r>
        <w:rPr>
          <w:rFonts w:ascii="Times New Roman" w:hAnsi="Times New Roman" w:cs="Times New Roman"/>
          <w:sz w:val="24"/>
        </w:rPr>
        <w:t>).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Форма матрицы реализации формирования компетенций и паспорта компетенций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10260D" w:rsidRDefault="00120FD0" w:rsidP="0010260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0" w:name="_Toc530652094"/>
      <w:r w:rsidRPr="0010260D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10260D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0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CD590B">
        <w:rPr>
          <w:rFonts w:ascii="Times New Roman" w:eastAsia="HiddenHorzOCR" w:hAnsi="Times New Roman" w:cs="Times New Roman"/>
          <w:bCs/>
          <w:sz w:val="24"/>
          <w:szCs w:val="28"/>
        </w:rPr>
        <w:t>специализацию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одной специальности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Блок 2 «Практики»,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>базовой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>от специализации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05045">
        <w:rPr>
          <w:rFonts w:ascii="Times New Roman" w:hAnsi="Times New Roman" w:cs="Times New Roman"/>
          <w:sz w:val="24"/>
          <w:szCs w:val="24"/>
        </w:rPr>
        <w:t>специалитета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которую он осваивает. 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4770E">
        <w:rPr>
          <w:rFonts w:ascii="Times New Roman" w:hAnsi="Times New Roman" w:cs="Times New Roman"/>
          <w:sz w:val="24"/>
        </w:rPr>
        <w:t>Дисциплины по философии, истории, иностранному языку, безопасности жизнедеятельности реализуются в рамках базовой части Блока 1 «Дисциплины</w:t>
      </w:r>
      <w:r w:rsidR="00505045">
        <w:rPr>
          <w:rFonts w:ascii="Times New Roman" w:hAnsi="Times New Roman" w:cs="Times New Roman"/>
          <w:sz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</w:rPr>
        <w:t xml:space="preserve">» программы </w:t>
      </w:r>
      <w:r w:rsidR="00505045">
        <w:rPr>
          <w:rFonts w:ascii="Times New Roman" w:hAnsi="Times New Roman" w:cs="Times New Roman"/>
          <w:sz w:val="24"/>
        </w:rPr>
        <w:t>специалитета</w:t>
      </w:r>
      <w:r w:rsidRPr="00E4770E">
        <w:rPr>
          <w:rFonts w:ascii="Times New Roman" w:hAnsi="Times New Roman" w:cs="Times New Roman"/>
          <w:sz w:val="24"/>
        </w:rPr>
        <w:t xml:space="preserve">. 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720" w:right="40"/>
        <w:jc w:val="both"/>
        <w:rPr>
          <w:sz w:val="24"/>
        </w:rPr>
      </w:pPr>
      <w:r w:rsidRPr="00E4770E">
        <w:rPr>
          <w:sz w:val="24"/>
        </w:rPr>
        <w:t>Дисциплины по физической культуре и спорту реализуются в рамках: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базовой части Блока 1 «Дисциплины</w:t>
      </w:r>
      <w:r w:rsidR="00505045">
        <w:rPr>
          <w:sz w:val="24"/>
          <w:szCs w:val="24"/>
        </w:rPr>
        <w:t xml:space="preserve"> (модули)»</w:t>
      </w:r>
      <w:r w:rsidRPr="00E4770E">
        <w:rPr>
          <w:sz w:val="24"/>
          <w:szCs w:val="24"/>
        </w:rPr>
        <w:t xml:space="preserve"> программы </w:t>
      </w:r>
      <w:r w:rsidR="00505045">
        <w:rPr>
          <w:sz w:val="24"/>
          <w:szCs w:val="24"/>
        </w:rPr>
        <w:t>специалитета</w:t>
      </w:r>
      <w:r w:rsidRPr="00E4770E">
        <w:rPr>
          <w:sz w:val="24"/>
          <w:szCs w:val="24"/>
        </w:rPr>
        <w:t xml:space="preserve"> в объеме не менее 72 академических часов (2 </w:t>
      </w:r>
      <w:proofErr w:type="spellStart"/>
      <w:r w:rsidRPr="00E4770E">
        <w:rPr>
          <w:sz w:val="24"/>
          <w:szCs w:val="24"/>
        </w:rPr>
        <w:t>з.е</w:t>
      </w:r>
      <w:proofErr w:type="spellEnd"/>
      <w:r w:rsidRPr="00E4770E">
        <w:rPr>
          <w:sz w:val="24"/>
          <w:szCs w:val="24"/>
        </w:rPr>
        <w:t>.) в очной форме обучения;</w:t>
      </w:r>
    </w:p>
    <w:p w:rsidR="00E4770E" w:rsidRPr="00E4770E" w:rsidRDefault="00E4770E" w:rsidP="00E4770E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E4770E">
        <w:rPr>
          <w:sz w:val="24"/>
          <w:szCs w:val="24"/>
        </w:rPr>
        <w:t>элективных дисциплин</w:t>
      </w:r>
      <w:r w:rsidR="00505045">
        <w:rPr>
          <w:sz w:val="24"/>
          <w:szCs w:val="24"/>
        </w:rPr>
        <w:t xml:space="preserve"> (модулей)</w:t>
      </w:r>
      <w:r w:rsidRPr="00E4770E">
        <w:rPr>
          <w:sz w:val="24"/>
          <w:szCs w:val="24"/>
        </w:rPr>
        <w:t xml:space="preserve">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4770E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реализуются в порядке установленном организацией. Для инвалидов и лиц с ограниченными возможностями здоровья консерватория устанавливает особый порядок освоения дисциплин</w:t>
      </w:r>
      <w:r w:rsidR="00505045"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(модулей)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по физической культуре и спорту с учетом состояния их здоровья.</w:t>
      </w:r>
    </w:p>
    <w:p w:rsidR="008018B9" w:rsidRDefault="00505045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eastAsia="HiddenHorzOCR" w:hAnsi="Times New Roman" w:cs="Times New Roman"/>
          <w:bCs/>
          <w:sz w:val="24"/>
          <w:szCs w:val="24"/>
        </w:rPr>
        <w:t>Набор д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исциплин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(модули)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относящиеся к вариативной части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, и практики определяют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специализацию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 xml:space="preserve"> программы 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>специалитета</w:t>
      </w:r>
      <w:r w:rsidR="008018B9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8018B9" w:rsidRP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«Практики» входят учебная и производственная, в том числе преддипломная, практики.</w:t>
      </w:r>
    </w:p>
    <w:p w:rsidR="00592B97" w:rsidRDefault="00592B97" w:rsidP="00592B97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 учебной практики: практика по получению первичных профессиональных умений и навыков; исполнительская практика.</w:t>
      </w:r>
    </w:p>
    <w:p w:rsidR="00592B97" w:rsidRDefault="00592B97" w:rsidP="00592B97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учебной практики: стационарная и выездная.</w:t>
      </w:r>
    </w:p>
    <w:p w:rsidR="00592B97" w:rsidRDefault="00592B97" w:rsidP="00592B97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Типы производственной практики: практика по получению профессиональных умений и опыта профессиональной деятельности; педагогическая практика.</w:t>
      </w:r>
    </w:p>
    <w:p w:rsidR="00592B97" w:rsidRDefault="00592B97" w:rsidP="00592B97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проведения производственной практики: стационарная и выездная.</w:t>
      </w:r>
    </w:p>
    <w:p w:rsidR="00592B97" w:rsidRDefault="00592B97" w:rsidP="00592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592B97" w:rsidRPr="008018B9" w:rsidRDefault="00592B97" w:rsidP="00592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8018B9" w:rsidRPr="008018B9" w:rsidRDefault="008018B9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10260D" w:rsidRDefault="006E12C8" w:rsidP="0010260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652095"/>
      <w:r w:rsidRPr="0010260D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10260D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10260D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B364AF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1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специальности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.01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Искусство концертного исполнительства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специализации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>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специализации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592B97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РПД)</w:t>
      </w:r>
      <w:r>
        <w:rPr>
          <w:rFonts w:ascii="Times New Roman" w:eastAsia="HiddenHorzOCR" w:hAnsi="Times New Roman" w:cs="Times New Roman"/>
          <w:sz w:val="24"/>
          <w:szCs w:val="28"/>
        </w:rPr>
        <w:t>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10260D" w:rsidRDefault="00B364AF" w:rsidP="0010260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652096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10260D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2"/>
    </w:p>
    <w:p w:rsidR="004C1AA8" w:rsidRPr="00754A8C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754A8C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 работников, реализующих программу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специалитета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, не менее 65%.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искуств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 xml:space="preserve">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60AD4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A60AD4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контроля  и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так же помещения для работы со специализированными материалами (фонотека, нотная библиотека).</w:t>
      </w:r>
      <w:r w:rsidR="00592B97">
        <w:rPr>
          <w:rFonts w:ascii="Times New Roman" w:eastAsia="HiddenHorzOCR" w:hAnsi="Times New Roman" w:cs="Times New Roman"/>
          <w:sz w:val="24"/>
          <w:szCs w:val="28"/>
        </w:rPr>
        <w:t xml:space="preserve"> 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A60AD4" w:rsidRPr="00D06837" w:rsidRDefault="00A60AD4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10260D" w:rsidRDefault="00B364AF" w:rsidP="0010260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652097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10260D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3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5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.01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Искусство концертного исполнительства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10260D" w:rsidRDefault="00B364AF" w:rsidP="0010260D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652098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10260D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10260D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10260D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4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592B97" w:rsidRDefault="008C28A5" w:rsidP="00030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8C28A5" w:rsidRPr="00592B97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E3CE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3027F"/>
    <w:rsid w:val="0006294A"/>
    <w:rsid w:val="000B2E04"/>
    <w:rsid w:val="000C226D"/>
    <w:rsid w:val="000C422B"/>
    <w:rsid w:val="000D0432"/>
    <w:rsid w:val="000E43ED"/>
    <w:rsid w:val="000F345C"/>
    <w:rsid w:val="0010260D"/>
    <w:rsid w:val="00120FD0"/>
    <w:rsid w:val="00154F1A"/>
    <w:rsid w:val="00174282"/>
    <w:rsid w:val="00192A11"/>
    <w:rsid w:val="001971A7"/>
    <w:rsid w:val="001A371C"/>
    <w:rsid w:val="001B0276"/>
    <w:rsid w:val="001C233D"/>
    <w:rsid w:val="001D14A7"/>
    <w:rsid w:val="001D20F4"/>
    <w:rsid w:val="001E28B0"/>
    <w:rsid w:val="001E3325"/>
    <w:rsid w:val="001F1417"/>
    <w:rsid w:val="00243B66"/>
    <w:rsid w:val="00244A4E"/>
    <w:rsid w:val="00275763"/>
    <w:rsid w:val="002943DC"/>
    <w:rsid w:val="00295CB2"/>
    <w:rsid w:val="002B2E1F"/>
    <w:rsid w:val="002B3727"/>
    <w:rsid w:val="002C13D3"/>
    <w:rsid w:val="002C30A7"/>
    <w:rsid w:val="002D3EC7"/>
    <w:rsid w:val="002E5ECA"/>
    <w:rsid w:val="00317C45"/>
    <w:rsid w:val="00351243"/>
    <w:rsid w:val="003625B5"/>
    <w:rsid w:val="00382982"/>
    <w:rsid w:val="0039127A"/>
    <w:rsid w:val="003A11E9"/>
    <w:rsid w:val="003A68F4"/>
    <w:rsid w:val="003A6BCA"/>
    <w:rsid w:val="003B6076"/>
    <w:rsid w:val="003F3249"/>
    <w:rsid w:val="00402B3F"/>
    <w:rsid w:val="004218F1"/>
    <w:rsid w:val="0042419D"/>
    <w:rsid w:val="0044150F"/>
    <w:rsid w:val="00453424"/>
    <w:rsid w:val="00462974"/>
    <w:rsid w:val="00466F0B"/>
    <w:rsid w:val="00475C49"/>
    <w:rsid w:val="004873CD"/>
    <w:rsid w:val="004C1AA8"/>
    <w:rsid w:val="00505045"/>
    <w:rsid w:val="00513773"/>
    <w:rsid w:val="0051576A"/>
    <w:rsid w:val="00517355"/>
    <w:rsid w:val="005266A9"/>
    <w:rsid w:val="00537A6C"/>
    <w:rsid w:val="00552CE3"/>
    <w:rsid w:val="00592B97"/>
    <w:rsid w:val="005B4C0A"/>
    <w:rsid w:val="005B4D71"/>
    <w:rsid w:val="005B7CC0"/>
    <w:rsid w:val="005D17FF"/>
    <w:rsid w:val="006004D7"/>
    <w:rsid w:val="00602D9D"/>
    <w:rsid w:val="0060472E"/>
    <w:rsid w:val="00604FD1"/>
    <w:rsid w:val="0061268E"/>
    <w:rsid w:val="00626890"/>
    <w:rsid w:val="0063065A"/>
    <w:rsid w:val="00646A2E"/>
    <w:rsid w:val="00676CC0"/>
    <w:rsid w:val="006A1538"/>
    <w:rsid w:val="006D0F9C"/>
    <w:rsid w:val="006E12C8"/>
    <w:rsid w:val="007012F8"/>
    <w:rsid w:val="00714892"/>
    <w:rsid w:val="00722D87"/>
    <w:rsid w:val="00754A8C"/>
    <w:rsid w:val="00755FCA"/>
    <w:rsid w:val="00762A87"/>
    <w:rsid w:val="00764848"/>
    <w:rsid w:val="00776A7F"/>
    <w:rsid w:val="0078123B"/>
    <w:rsid w:val="00783F72"/>
    <w:rsid w:val="007B5F02"/>
    <w:rsid w:val="007C6999"/>
    <w:rsid w:val="008018B9"/>
    <w:rsid w:val="0086357A"/>
    <w:rsid w:val="008831E0"/>
    <w:rsid w:val="00892585"/>
    <w:rsid w:val="008B2B5C"/>
    <w:rsid w:val="008B48BF"/>
    <w:rsid w:val="008C28A5"/>
    <w:rsid w:val="008D2703"/>
    <w:rsid w:val="008F4BE8"/>
    <w:rsid w:val="00900908"/>
    <w:rsid w:val="00910D18"/>
    <w:rsid w:val="0091246E"/>
    <w:rsid w:val="0091760E"/>
    <w:rsid w:val="0092515A"/>
    <w:rsid w:val="009309C7"/>
    <w:rsid w:val="009374CE"/>
    <w:rsid w:val="00943CDA"/>
    <w:rsid w:val="009631D5"/>
    <w:rsid w:val="00966B26"/>
    <w:rsid w:val="00972567"/>
    <w:rsid w:val="00983B6D"/>
    <w:rsid w:val="00992339"/>
    <w:rsid w:val="0099523A"/>
    <w:rsid w:val="009A54AC"/>
    <w:rsid w:val="009A779A"/>
    <w:rsid w:val="009D0E75"/>
    <w:rsid w:val="009E4617"/>
    <w:rsid w:val="009E73D6"/>
    <w:rsid w:val="00A11843"/>
    <w:rsid w:val="00A20C97"/>
    <w:rsid w:val="00A20DA3"/>
    <w:rsid w:val="00A60AD4"/>
    <w:rsid w:val="00A63627"/>
    <w:rsid w:val="00A73A65"/>
    <w:rsid w:val="00A83D3A"/>
    <w:rsid w:val="00AA7963"/>
    <w:rsid w:val="00AC7372"/>
    <w:rsid w:val="00AD0FD5"/>
    <w:rsid w:val="00AE1870"/>
    <w:rsid w:val="00B34A4E"/>
    <w:rsid w:val="00B364AF"/>
    <w:rsid w:val="00B463A2"/>
    <w:rsid w:val="00B47EF4"/>
    <w:rsid w:val="00B606C8"/>
    <w:rsid w:val="00B9495C"/>
    <w:rsid w:val="00BC4501"/>
    <w:rsid w:val="00BD4BB6"/>
    <w:rsid w:val="00C02EF5"/>
    <w:rsid w:val="00C3336D"/>
    <w:rsid w:val="00C825A7"/>
    <w:rsid w:val="00C910B8"/>
    <w:rsid w:val="00C91949"/>
    <w:rsid w:val="00CB1C82"/>
    <w:rsid w:val="00CC7F31"/>
    <w:rsid w:val="00CD590B"/>
    <w:rsid w:val="00CE4278"/>
    <w:rsid w:val="00CF31EF"/>
    <w:rsid w:val="00CF32A4"/>
    <w:rsid w:val="00D06837"/>
    <w:rsid w:val="00D22BD4"/>
    <w:rsid w:val="00D244DF"/>
    <w:rsid w:val="00D32CEF"/>
    <w:rsid w:val="00D360D3"/>
    <w:rsid w:val="00D522CF"/>
    <w:rsid w:val="00D75ABF"/>
    <w:rsid w:val="00D87343"/>
    <w:rsid w:val="00D879B4"/>
    <w:rsid w:val="00D95861"/>
    <w:rsid w:val="00DB0639"/>
    <w:rsid w:val="00DC431C"/>
    <w:rsid w:val="00DF1D08"/>
    <w:rsid w:val="00DF464A"/>
    <w:rsid w:val="00E33257"/>
    <w:rsid w:val="00E4770E"/>
    <w:rsid w:val="00E90556"/>
    <w:rsid w:val="00EC397C"/>
    <w:rsid w:val="00EC4F43"/>
    <w:rsid w:val="00ED4901"/>
    <w:rsid w:val="00EE3A29"/>
    <w:rsid w:val="00EF5ADE"/>
    <w:rsid w:val="00F2242A"/>
    <w:rsid w:val="00F24607"/>
    <w:rsid w:val="00F57230"/>
    <w:rsid w:val="00F83812"/>
    <w:rsid w:val="00F921D2"/>
    <w:rsid w:val="00FA4BBE"/>
    <w:rsid w:val="00FA78AD"/>
    <w:rsid w:val="00FD710D"/>
    <w:rsid w:val="00FF208E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6CCA3"/>
  <w15:docId w15:val="{B63625AC-A131-4F7B-B06E-AD7DB54A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B364AF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B364AF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locked/>
    <w:rsid w:val="00B364A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E293-648C-4072-A69A-0268E387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15</cp:revision>
  <cp:lastPrinted>2019-03-29T07:16:00Z</cp:lastPrinted>
  <dcterms:created xsi:type="dcterms:W3CDTF">2018-04-24T12:14:00Z</dcterms:created>
  <dcterms:modified xsi:type="dcterms:W3CDTF">2021-03-22T12:10:00Z</dcterms:modified>
</cp:coreProperties>
</file>